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D81D" w14:textId="77777777" w:rsidR="00142652" w:rsidRDefault="00FD54EC">
      <w:pPr>
        <w:framePr w:w="2170" w:h="1070" w:hSpace="3144" w:vSpace="62" w:wrap="notBeside" w:vAnchor="text" w:hAnchor="text" w:y="1"/>
        <w:rPr>
          <w:sz w:val="2"/>
          <w:szCs w:val="2"/>
        </w:rPr>
      </w:pPr>
      <w:r>
        <w:rPr>
          <w:noProof/>
        </w:rPr>
        <w:drawing>
          <wp:inline distT="0" distB="0" distL="0" distR="0" wp14:anchorId="2136F63B" wp14:editId="5490FB57">
            <wp:extent cx="1377950" cy="6826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djęci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7795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4A50E" w14:textId="77777777" w:rsidR="00142652" w:rsidRDefault="00FD54E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7062470" simplePos="0" relativeHeight="125829378" behindDoc="0" locked="0" layoutInCell="1" allowOverlap="1" wp14:anchorId="59072480" wp14:editId="021031EC">
                <wp:simplePos x="0" y="0"/>
                <wp:positionH relativeFrom="column">
                  <wp:posOffset>1515110</wp:posOffset>
                </wp:positionH>
                <wp:positionV relativeFrom="paragraph">
                  <wp:posOffset>259080</wp:posOffset>
                </wp:positionV>
                <wp:extent cx="1859280" cy="460375"/>
                <wp:effectExtent l="0" t="0" r="0" b="0"/>
                <wp:wrapTopAndBottom/>
                <wp:docPr id="2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9277F0" w14:textId="77777777" w:rsidR="00142652" w:rsidRDefault="00FD54EC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DYREKCJA GENERALNA</w:t>
                            </w:r>
                          </w:p>
                          <w:p w14:paraId="70101F21" w14:textId="77777777" w:rsidR="00142652" w:rsidRDefault="00FD54EC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PODATKI I UNIA CELNA</w:t>
                            </w:r>
                          </w:p>
                          <w:p w14:paraId="3587393D" w14:textId="77777777" w:rsidR="00142652" w:rsidRDefault="00FD54EC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Dział A.6</w:t>
                            </w:r>
                          </w:p>
                          <w:p w14:paraId="1FABA391" w14:textId="77777777" w:rsidR="00142652" w:rsidRDefault="00FD54EC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Reguły pochodzenia i ustalania wartości celnej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072480" id="_x0000_t202" coordsize="21600,21600" o:spt="202" path="m,l,21600r21600,l21600,xe">
                <v:stroke joinstyle="miter"/>
                <v:path gradientshapeok="t" o:connecttype="rect"/>
              </v:shapetype>
              <v:shape id="Kształt 2" o:spid="_x0000_s1026" type="#_x0000_t202" style="position:absolute;margin-left:119.3pt;margin-top:20.4pt;width:146.4pt;height:36.25pt;z-index:125829378;visibility:visible;mso-wrap-style:square;mso-wrap-distance-left:0;mso-wrap-distance-top:0;mso-wrap-distance-right:556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/UniwEAAP8CAAAOAAAAZHJzL2Uyb0RvYy54bWysUt1O6zAMvkfiHaLcs5byN6p1SAiBEOgc&#10;pMEDZGmyRmriKA5rxyXvdt7rON06ENwhbhzHdj5//pzZVW9btlYBDbiKH09yzpSTUBu3qvjL8+3R&#10;lDOMwtWiBacqvlHIr+aHB7POl6qABtpaBUYgDsvOV7yJ0ZdZhrJRVuAEvHKU1BCsiHQNq6wOoiN0&#10;22ZFnp9nHYTaB5AKkaI32ySfD/haKxn/ao0qsrbixC0ONgx2mWw2n4lyFYRvjNzRED9gYYVx1HQP&#10;dSOiYK/BfIOyRgZA0HEiwWagtZFqmIGmOc6/TLNohFfDLCQO+r1M+Huw8s/6KTBTV7zgzAlLK3rA&#10;tyj+vUdWJHU6jyUVLTyVxf4aetryGEcKpqF7HWw6aRxGedJ5s9dW9ZHJ9Gh6dllMKSUpd3qen1yc&#10;JZjs47UPGO8UWJacigfa3SCpWD9i3JaOJamZg1vTtimeKG6pJC/2y37Hewn1hmi3944US9sfnTA6&#10;y50zwpDKA6fdj0hr/Hwfmn382/l/AAAA//8DAFBLAwQUAAYACAAAACEACj7+w98AAAAKAQAADwAA&#10;AGRycy9kb3ducmV2LnhtbEyPwU7DMBBE70j8g7VI3KidpkQlxKkqBCekijQcODqxm1iN1yF22/D3&#10;bE9wXO3TzJtiM7uBnc0UrEcJyUIAM9h6bbGT8Fm/PayBhahQq8GjkfBjAmzK25tC5dpfsDLnfewY&#10;hWDIlYQ+xjHnPLS9cSos/GiQfgc/ORXpnDquJ3WhcDfwpRAZd8oiNfRqNC+9aY/7k5Ow/cLq1X7v&#10;mo/qUNm6fhL4nh2lvL+bt8/AopnjHwxXfVKHkpwaf0Id2CBhma4zQiWsBE0g4DFNVsAaIpM0BV4W&#10;/P+E8hcAAP//AwBQSwECLQAUAAYACAAAACEAtoM4kv4AAADhAQAAEwAAAAAAAAAAAAAAAAAAAAAA&#10;W0NvbnRlbnRfVHlwZXNdLnhtbFBLAQItABQABgAIAAAAIQA4/SH/1gAAAJQBAAALAAAAAAAAAAAA&#10;AAAAAC8BAABfcmVscy8ucmVsc1BLAQItABQABgAIAAAAIQALP/UniwEAAP8CAAAOAAAAAAAAAAAA&#10;AAAAAC4CAABkcnMvZTJvRG9jLnhtbFBLAQItABQABgAIAAAAIQAKPv7D3wAAAAoBAAAPAAAAAAAA&#10;AAAAAAAAAOUDAABkcnMvZG93bnJldi54bWxQSwUGAAAAAAQABADzAAAA8QQAAAAA&#10;" filled="f" stroked="f">
                <v:textbox inset="0,0,0,0">
                  <w:txbxContent>
                    <w:p w14:paraId="4A9277F0" w14:textId="77777777" w:rsidR="00142652" w:rsidRDefault="00FD54EC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DYREKCJA GENERALNA</w:t>
                      </w:r>
                    </w:p>
                    <w:p w14:paraId="70101F21" w14:textId="77777777" w:rsidR="00142652" w:rsidRDefault="00FD54EC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PODATKI I UNIA CELNA</w:t>
                      </w:r>
                    </w:p>
                    <w:p w14:paraId="3587393D" w14:textId="77777777" w:rsidR="00142652" w:rsidRDefault="00FD54EC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Dział A.6</w:t>
                      </w:r>
                    </w:p>
                    <w:p w14:paraId="1FABA391" w14:textId="77777777" w:rsidR="00142652" w:rsidRDefault="00FD54EC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Reguły pochodzenia i ustalania wartości celnej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C0CDFBA" w14:textId="77777777" w:rsidR="00142652" w:rsidRDefault="00FD54EC">
      <w:pPr>
        <w:pStyle w:val="Heading110"/>
        <w:keepNext/>
        <w:keepLines/>
      </w:pPr>
      <w:bookmarkStart w:id="0" w:name="bookmark7"/>
      <w:r>
        <w:rPr>
          <w:rStyle w:val="Heading11"/>
        </w:rPr>
        <w:t>Ważne dowody pochodzenia na podstawie różnych umów o partnerstwie gospodarczym między UE a państwami Afryki, Karaibów i Pacyfiku Zaktualizowano 21 kwietnia 2026 r.</w:t>
      </w:r>
      <w:bookmarkEnd w:id="0"/>
    </w:p>
    <w:p w14:paraId="14EFD404" w14:textId="77777777" w:rsidR="00142652" w:rsidRDefault="00FD54EC">
      <w:pPr>
        <w:pStyle w:val="Bodytext30"/>
      </w:pPr>
      <w:r>
        <w:rPr>
          <w:rStyle w:val="Bodytext3"/>
        </w:rPr>
        <w:t>OŚWIADCZENIE</w:t>
      </w:r>
    </w:p>
    <w:p w14:paraId="4FA5513A" w14:textId="77777777" w:rsidR="00142652" w:rsidRDefault="00FD54EC">
      <w:pPr>
        <w:pStyle w:val="Tablecaption10"/>
      </w:pPr>
      <w:r>
        <w:rPr>
          <w:rStyle w:val="Tablecaption1"/>
        </w:rPr>
        <w:t>Niniejsza tabela poświęcona umowom o partnerstwie gospodarczym między UE a państwami Afryki, Karaibów i Pacyfiku („AKP”) pozostaje bez uszczerbku dla innych rodzajów dowodów pochodzenia, które mogą być wykorzystywane przez niektóre państwa AKP w ramach innych preferencyjnych uzgodnień handlowych z UE, takich jak GSP, w przypadku gdy państwa te kwalifikują się do różnych preferencyjnych uzgodnień.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2861"/>
        <w:gridCol w:w="1253"/>
        <w:gridCol w:w="1603"/>
        <w:gridCol w:w="2126"/>
        <w:gridCol w:w="1205"/>
        <w:gridCol w:w="1507"/>
        <w:gridCol w:w="2146"/>
      </w:tblGrid>
      <w:tr w:rsidR="00142652" w14:paraId="291E807B" w14:textId="77777777">
        <w:trPr>
          <w:trHeight w:hRule="exact" w:val="451"/>
          <w:jc w:val="center"/>
        </w:trPr>
        <w:tc>
          <w:tcPr>
            <w:tcW w:w="4186" w:type="dxa"/>
            <w:gridSpan w:val="2"/>
            <w:vMerge w:val="restart"/>
            <w:shd w:val="clear" w:color="auto" w:fill="auto"/>
            <w:vAlign w:val="bottom"/>
          </w:tcPr>
          <w:p w14:paraId="142A0B9E" w14:textId="77777777" w:rsidR="00142652" w:rsidRDefault="00FD54EC">
            <w:pPr>
              <w:pStyle w:val="Other10"/>
              <w:tabs>
                <w:tab w:val="left" w:pos="2341"/>
              </w:tabs>
              <w:ind w:firstLine="200"/>
              <w:jc w:val="left"/>
            </w:pPr>
            <w:r>
              <w:rPr>
                <w:rStyle w:val="Other1"/>
                <w:b/>
                <w:bCs/>
              </w:rPr>
              <w:t>Umowa</w:t>
            </w:r>
            <w:r>
              <w:rPr>
                <w:rStyle w:val="Other1"/>
                <w:b/>
                <w:bCs/>
              </w:rPr>
              <w:tab/>
              <w:t>Kraje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0C754E" w14:textId="77777777" w:rsidR="00142652" w:rsidRDefault="00FD54EC">
            <w:pPr>
              <w:pStyle w:val="Other10"/>
            </w:pPr>
            <w:r>
              <w:rPr>
                <w:rStyle w:val="Other1"/>
                <w:b/>
                <w:bCs/>
              </w:rPr>
              <w:t xml:space="preserve">Wywóz produktów </w:t>
            </w:r>
            <w:r>
              <w:rPr>
                <w:rStyle w:val="Other1"/>
              </w:rPr>
              <w:t>pochodzących z UE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010F" w14:textId="77777777" w:rsidR="00142652" w:rsidRDefault="00FD54EC">
            <w:pPr>
              <w:pStyle w:val="Other10"/>
            </w:pPr>
            <w:r>
              <w:rPr>
                <w:rStyle w:val="Other1"/>
                <w:b/>
                <w:bCs/>
              </w:rPr>
              <w:t xml:space="preserve">Przywóz do </w:t>
            </w:r>
            <w:r>
              <w:rPr>
                <w:rStyle w:val="Other1"/>
              </w:rPr>
              <w:t>UE produktów pochodzących z państw AKP objętych umową o partnerstwie gospodarczym</w:t>
            </w:r>
          </w:p>
        </w:tc>
      </w:tr>
      <w:tr w:rsidR="00142652" w14:paraId="07C70D63" w14:textId="77777777">
        <w:trPr>
          <w:trHeight w:hRule="exact" w:val="226"/>
          <w:jc w:val="center"/>
        </w:trPr>
        <w:tc>
          <w:tcPr>
            <w:tcW w:w="4186" w:type="dxa"/>
            <w:gridSpan w:val="2"/>
            <w:vMerge/>
            <w:shd w:val="clear" w:color="auto" w:fill="auto"/>
            <w:vAlign w:val="bottom"/>
          </w:tcPr>
          <w:p w14:paraId="1233B50B" w14:textId="77777777" w:rsidR="00142652" w:rsidRDefault="00142652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52FF9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E6084" w14:textId="77777777" w:rsidR="00142652" w:rsidRDefault="00FD54EC">
            <w:pPr>
              <w:pStyle w:val="Other10"/>
            </w:pPr>
            <w:r>
              <w:rPr>
                <w:rStyle w:val="Other1"/>
              </w:rPr>
              <w:t>Certyfikacja własna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9617F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3227" w14:textId="77777777" w:rsidR="00142652" w:rsidRDefault="00FD54EC">
            <w:pPr>
              <w:pStyle w:val="Other10"/>
            </w:pPr>
            <w:r>
              <w:rPr>
                <w:rStyle w:val="Other1"/>
              </w:rPr>
              <w:t>Certyfikacja własna</w:t>
            </w:r>
          </w:p>
        </w:tc>
      </w:tr>
      <w:tr w:rsidR="00142652" w14:paraId="6A219B00" w14:textId="77777777">
        <w:trPr>
          <w:trHeight w:hRule="exact" w:val="850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95552" w14:textId="77777777" w:rsidR="00142652" w:rsidRDefault="00FD54EC">
            <w:pPr>
              <w:pStyle w:val="Other10"/>
            </w:pPr>
            <w:r>
              <w:rPr>
                <w:rStyle w:val="Other1"/>
              </w:rPr>
              <w:t>Przejściowa umowa o partnerstwie gospodarczym UE–ESA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B1A22" w14:textId="60A0D2F0" w:rsidR="00142652" w:rsidRDefault="00FD54EC">
            <w:pPr>
              <w:pStyle w:val="Other10"/>
            </w:pPr>
            <w:r>
              <w:rPr>
                <w:rStyle w:val="Other1"/>
              </w:rPr>
              <w:t>Komory</w:t>
            </w:r>
            <w:r w:rsidR="00241B42">
              <w:rPr>
                <w:rStyle w:val="Other1"/>
              </w:rPr>
              <w:t>, Mau</w:t>
            </w:r>
            <w:r w:rsidR="0014084D">
              <w:rPr>
                <w:rStyle w:val="Other1"/>
              </w:rPr>
              <w:t>ritius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0966132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B82A5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na fakturze sporządzona przez eksporterów zarejestrowanych w systemie REX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FD8B8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na fakturze sporządzona przez dowolnego eksportera w odniesieniu do przesyłek, w których wartość produktów pochodzących = lub &lt; 6000 EUR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9F072" w14:textId="77777777" w:rsidR="00142652" w:rsidRDefault="00FD54EC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EA2AF1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na fakturze sporządzona przez upoważnionych eksporterów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3E1D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na fakturze sporządzona przez dowolnego eksportera w odniesieniu do przesyłek, w których wartość produktów pochodzących = lub &lt; 6000 EUR</w:t>
            </w:r>
          </w:p>
        </w:tc>
      </w:tr>
      <w:tr w:rsidR="00142652" w14:paraId="3835E199" w14:textId="77777777">
        <w:trPr>
          <w:trHeight w:hRule="exact" w:val="1056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43F3F" w14:textId="77777777" w:rsidR="00142652" w:rsidRDefault="00142652"/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B0B1C" w14:textId="77777777" w:rsidR="00142652" w:rsidRDefault="00FD54EC">
            <w:pPr>
              <w:pStyle w:val="Other10"/>
            </w:pPr>
            <w:r>
              <w:rPr>
                <w:rStyle w:val="Other1"/>
              </w:rPr>
              <w:t>Zimbabwe, Madagaskar, Seszele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B2605FE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C0AC6D" w14:textId="77777777" w:rsidR="00142652" w:rsidRDefault="00142652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A3B28E" w14:textId="77777777" w:rsidR="00142652" w:rsidRDefault="00142652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105CD39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9EE32B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na fakturze sporządzona przez eksporterów zarejestrowanych w systemie REX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ABD4" w14:textId="77777777" w:rsidR="00142652" w:rsidRDefault="00142652"/>
        </w:tc>
      </w:tr>
      <w:tr w:rsidR="00142652" w14:paraId="05D7E32A" w14:textId="77777777">
        <w:trPr>
          <w:trHeight w:hRule="exact" w:val="859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C6E8C" w14:textId="77777777" w:rsidR="00142652" w:rsidRDefault="00FD54EC">
            <w:pPr>
              <w:pStyle w:val="Other10"/>
            </w:pPr>
            <w:r>
              <w:rPr>
                <w:rStyle w:val="Other1"/>
              </w:rPr>
              <w:t>Przejściowa umowa o partnerstwie gospodarczym UE–Pacyfik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99AAC" w14:textId="77777777" w:rsidR="00142652" w:rsidRDefault="00FD54EC">
            <w:pPr>
              <w:pStyle w:val="Other10"/>
            </w:pPr>
            <w:r>
              <w:rPr>
                <w:rStyle w:val="Other1"/>
              </w:rPr>
              <w:t>Fidżi, Papua Nowa Gwinea, Samoa i Wyspy Salomona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F7999" w14:textId="77777777" w:rsidR="00142652" w:rsidRDefault="00FD54EC">
            <w:pPr>
              <w:pStyle w:val="Other10"/>
            </w:pPr>
            <w:r>
              <w:rPr>
                <w:rStyle w:val="Other1"/>
              </w:rPr>
              <w:t>Świadectwo przewozowe EUR.</w:t>
            </w:r>
            <w:hyperlink w:anchor="bookmark0" w:tooltip="Current Document">
              <w:r>
                <w:rPr>
                  <w:rStyle w:val="Other1"/>
                </w:rPr>
                <w:t xml:space="preserve"> 1</w:t>
              </w:r>
            </w:hyperlink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footnoteReference w:id="1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8B681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na fakturze sporządzona przez upoważnionych eksporterów</w:t>
            </w:r>
            <w:r>
              <w:rPr>
                <w:rStyle w:val="Other1"/>
                <w:b/>
                <w:bCs/>
                <w:vertAlign w:val="superscript"/>
              </w:rPr>
              <w:t xml:space="preserve"> 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E371F" w14:textId="77777777" w:rsidR="00142652" w:rsidRDefault="00142652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58C4F" w14:textId="77777777" w:rsidR="00142652" w:rsidRDefault="00FD54EC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A489D7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na fakturze sporządzona przez upoważnionych eksporterów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E077" w14:textId="77777777" w:rsidR="00142652" w:rsidRDefault="00142652"/>
        </w:tc>
      </w:tr>
      <w:tr w:rsidR="00142652" w14:paraId="3855293E" w14:textId="77777777">
        <w:trPr>
          <w:trHeight w:hRule="exact" w:val="1272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282FF" w14:textId="77777777" w:rsidR="00142652" w:rsidRDefault="00142652"/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84815" w14:textId="77777777" w:rsidR="00142652" w:rsidRDefault="00142652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520021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DBDC29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na fakturze sporządzona przez eksporterów zarejestrowanych w systemie REX</w:t>
            </w:r>
            <w:hyperlink w:anchor="bookmark1" w:tooltip="Current Document">
              <w:r>
                <w:rPr>
                  <w:rStyle w:val="Other1"/>
                </w:rPr>
                <w:t xml:space="preserve"> m</w:t>
              </w:r>
            </w:hyperlink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footnoteReference w:id="2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9F993" w14:textId="77777777" w:rsidR="00142652" w:rsidRDefault="00142652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8265D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48CD7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B96C" w14:textId="77777777" w:rsidR="00142652" w:rsidRDefault="00142652"/>
        </w:tc>
      </w:tr>
      <w:tr w:rsidR="00142652" w14:paraId="5CD470E9" w14:textId="77777777">
        <w:trPr>
          <w:trHeight w:hRule="exact" w:val="878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C1487" w14:textId="77777777" w:rsidR="00142652" w:rsidRDefault="00FD54EC">
            <w:pPr>
              <w:pStyle w:val="Other10"/>
            </w:pPr>
            <w:r>
              <w:rPr>
                <w:rStyle w:val="Other1"/>
              </w:rPr>
              <w:t>Umowa o partnerstwie gospodarczym między UE a CARIFORUM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4C532F" w14:textId="77777777" w:rsidR="00142652" w:rsidRDefault="00FD54EC">
            <w:pPr>
              <w:pStyle w:val="Other10"/>
            </w:pPr>
            <w:r>
              <w:rPr>
                <w:rStyle w:val="Other1"/>
              </w:rPr>
              <w:t xml:space="preserve">Antigua i Barbuda, Bahamy, Barbados, Belize, Dominika, Dominikana, Grenada, Gujana, Jamajka, </w:t>
            </w:r>
            <w:proofErr w:type="spellStart"/>
            <w:r>
              <w:rPr>
                <w:rStyle w:val="Other1"/>
              </w:rPr>
              <w:t>St</w:t>
            </w:r>
            <w:proofErr w:type="spellEnd"/>
            <w:r>
              <w:rPr>
                <w:rStyle w:val="Other1"/>
              </w:rPr>
              <w:t xml:space="preserve"> Lucia, </w:t>
            </w:r>
            <w:proofErr w:type="spellStart"/>
            <w:r>
              <w:rPr>
                <w:rStyle w:val="Other1"/>
              </w:rPr>
              <w:t>St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0319B" w14:textId="77777777" w:rsidR="00142652" w:rsidRDefault="00FD54EC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1BC0C7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na fakturze sporządzona przez upoważnionych eksporterów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F785A" w14:textId="77777777" w:rsidR="00142652" w:rsidRDefault="00142652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8BC69" w14:textId="77777777" w:rsidR="00142652" w:rsidRDefault="00FD54EC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E0C5F6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na fakturze sporządzona przez upoważnionych eksporterów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5995" w14:textId="77777777" w:rsidR="00142652" w:rsidRDefault="00142652"/>
        </w:tc>
      </w:tr>
    </w:tbl>
    <w:p w14:paraId="5CFC74EF" w14:textId="77777777" w:rsidR="00142652" w:rsidRDefault="00142652">
      <w:pPr>
        <w:sectPr w:rsidR="001426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703" w:right="1398" w:bottom="703" w:left="1393" w:header="0" w:footer="275" w:gutter="0"/>
          <w:pgNumType w:start="1"/>
          <w:cols w:space="720"/>
          <w:noEndnote/>
          <w:docGrid w:linePitch="360"/>
          <w15:footnoteColumns w:val="1"/>
        </w:sectPr>
      </w:pPr>
    </w:p>
    <w:p w14:paraId="5C1EC9F1" w14:textId="77777777" w:rsidR="00142652" w:rsidRDefault="00FD54EC">
      <w:pPr>
        <w:framePr w:w="2170" w:h="1070" w:hSpace="3144" w:vSpace="62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257E208" wp14:editId="408728B2">
            <wp:extent cx="1377950" cy="68262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djęcie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7795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60994" w14:textId="77777777" w:rsidR="00142652" w:rsidRDefault="00FD54E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7052945" simplePos="0" relativeHeight="125829380" behindDoc="0" locked="0" layoutInCell="1" allowOverlap="1" wp14:anchorId="1C3112B4" wp14:editId="21A7354C">
                <wp:simplePos x="0" y="0"/>
                <wp:positionH relativeFrom="column">
                  <wp:posOffset>1515110</wp:posOffset>
                </wp:positionH>
                <wp:positionV relativeFrom="paragraph">
                  <wp:posOffset>259080</wp:posOffset>
                </wp:positionV>
                <wp:extent cx="1859280" cy="460375"/>
                <wp:effectExtent l="0" t="0" r="0" b="0"/>
                <wp:wrapTopAndBottom/>
                <wp:docPr id="7" name="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21E266" w14:textId="77777777" w:rsidR="00142652" w:rsidRDefault="00FD54EC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DYREKCJA GENERALNA</w:t>
                            </w:r>
                          </w:p>
                          <w:p w14:paraId="79F730D4" w14:textId="77777777" w:rsidR="00142652" w:rsidRDefault="00FD54EC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PODATKI I UNIA CELNA</w:t>
                            </w:r>
                          </w:p>
                          <w:p w14:paraId="1B1923B0" w14:textId="77777777" w:rsidR="00142652" w:rsidRDefault="00FD54EC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Dział A.6</w:t>
                            </w:r>
                          </w:p>
                          <w:p w14:paraId="2E7AD55B" w14:textId="77777777" w:rsidR="00142652" w:rsidRDefault="00FD54EC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Reguły pochodzenia i ustalania wartości celnej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3112B4" id="Kształt 7" o:spid="_x0000_s1027" type="#_x0000_t202" style="position:absolute;margin-left:119.3pt;margin-top:20.4pt;width:146.4pt;height:36.25pt;z-index:125829380;visibility:visible;mso-wrap-style:square;mso-wrap-distance-left:0;mso-wrap-distance-top:0;mso-wrap-distance-right:555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2aBjwEAAAYDAAAOAAAAZHJzL2Uyb0RvYy54bWysUttuGyEQfY/Uf0C817tx60tWXluqrFRV&#10;oqZS2g/ALHiRFgYx1LvOY/4t/9UBe52oeav6AsPMcDjnDKvNYDt2UAENuJpfT0rOlJPQGLev+a+f&#10;tx+XnGEUrhEdOFXzo0K+WX+4WvW+UlNooWtUYATisOp9zdsYfVUUKFtlBU7AK0dFDcGKSMewL5og&#10;ekK3XTEty3nRQ2h8AKkQKbs9Ffk642utZHzQGlVkXc2JW8xryOsurcV6Jap9EL418kxD/AMLK4yj&#10;Ry9QWxEF+x3MOyhrZAAEHScSbAFaG6myBlJzXf6l5rEVXmUtZA76i034/2Dl98OPwExT8wVnTlga&#10;0R0+RfHyHNkiudN7rKjp0VNbHL7AQFMe80jJJHrQwaad5DCqk8/Hi7dqiEymS8vZzXRJJUm1z/Py&#10;02KWYIrX2z5g/KrAshTUPNDssqXicI/x1Dq2pMcc3JquS/lE8UQlRXHYDVnQheYOmiOx7745Mi59&#10;gjEIY7A7ByMamZ2pnT9Gmubbc37z9fuu/wAAAP//AwBQSwMEFAAGAAgAAAAhAAo+/sPfAAAACgEA&#10;AA8AAABkcnMvZG93bnJldi54bWxMj8FOwzAQRO9I/IO1SNyonaZEJcSpKgQnpIo0HDg6sZtYjdch&#10;dtvw92xPcFzt08ybYjO7gZ3NFKxHCclCADPYem2xk/BZvz2sgYWoUKvBo5HwYwJsytubQuXaX7Ay&#10;533sGIVgyJWEPsYx5zy0vXEqLPxokH4HPzkV6Zw6rid1oXA38KUQGXfKIjX0ajQvvWmP+5OTsP3C&#10;6tV+75qP6lDZun4S+J4dpby/m7fPwKKZ4x8MV31Sh5KcGn9CHdggYZmuM0IlrARNIOAxTVbAGiKT&#10;NAVeFvz/hPIXAAD//wMAUEsBAi0AFAAGAAgAAAAhALaDOJL+AAAA4QEAABMAAAAAAAAAAAAAAAAA&#10;AAAAAFtDb250ZW50X1R5cGVzXS54bWxQSwECLQAUAAYACAAAACEAOP0h/9YAAACUAQAACwAAAAAA&#10;AAAAAAAAAAAvAQAAX3JlbHMvLnJlbHNQSwECLQAUAAYACAAAACEAWNtmgY8BAAAGAwAADgAAAAAA&#10;AAAAAAAAAAAuAgAAZHJzL2Uyb0RvYy54bWxQSwECLQAUAAYACAAAACEACj7+w98AAAAKAQAADwAA&#10;AAAAAAAAAAAAAADpAwAAZHJzL2Rvd25yZXYueG1sUEsFBgAAAAAEAAQA8wAAAPUEAAAAAA==&#10;" filled="f" stroked="f">
                <v:textbox inset="0,0,0,0">
                  <w:txbxContent>
                    <w:p w14:paraId="4721E266" w14:textId="77777777" w:rsidR="00142652" w:rsidRDefault="00FD54EC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DYREKCJA GENERALNA</w:t>
                      </w:r>
                    </w:p>
                    <w:p w14:paraId="79F730D4" w14:textId="77777777" w:rsidR="00142652" w:rsidRDefault="00FD54EC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PODATKI I UNIA CELNA</w:t>
                      </w:r>
                    </w:p>
                    <w:p w14:paraId="1B1923B0" w14:textId="77777777" w:rsidR="00142652" w:rsidRDefault="00FD54EC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Dział A.6</w:t>
                      </w:r>
                    </w:p>
                    <w:p w14:paraId="2E7AD55B" w14:textId="77777777" w:rsidR="00142652" w:rsidRDefault="00FD54EC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Reguły pochodzenia i ustalania wartości celnej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2861"/>
        <w:gridCol w:w="1253"/>
        <w:gridCol w:w="1603"/>
        <w:gridCol w:w="2126"/>
        <w:gridCol w:w="1200"/>
        <w:gridCol w:w="1512"/>
        <w:gridCol w:w="2146"/>
      </w:tblGrid>
      <w:tr w:rsidR="00142652" w:rsidRPr="00241B42" w14:paraId="78BE938F" w14:textId="77777777">
        <w:trPr>
          <w:trHeight w:hRule="exact" w:val="66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A433D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25826" w14:textId="77777777" w:rsidR="00142652" w:rsidRPr="00241B42" w:rsidRDefault="00FD54EC">
            <w:pPr>
              <w:pStyle w:val="Other10"/>
              <w:rPr>
                <w:lang w:val="en-GB"/>
              </w:rPr>
            </w:pPr>
            <w:r w:rsidRPr="00241B42">
              <w:rPr>
                <w:rStyle w:val="Other1"/>
                <w:lang w:val="en-GB"/>
              </w:rPr>
              <w:t xml:space="preserve">Vincent i </w:t>
            </w:r>
            <w:proofErr w:type="spellStart"/>
            <w:r w:rsidRPr="00241B42">
              <w:rPr>
                <w:rStyle w:val="Other1"/>
                <w:lang w:val="en-GB"/>
              </w:rPr>
              <w:t>Grenadyny</w:t>
            </w:r>
            <w:proofErr w:type="spellEnd"/>
            <w:r w:rsidRPr="00241B42">
              <w:rPr>
                <w:rStyle w:val="Other1"/>
                <w:lang w:val="en-GB"/>
              </w:rPr>
              <w:t xml:space="preserve">, Saint Kitts i Nevis, Surinam, </w:t>
            </w:r>
            <w:proofErr w:type="spellStart"/>
            <w:r w:rsidRPr="00241B42">
              <w:rPr>
                <w:rStyle w:val="Other1"/>
                <w:lang w:val="en-GB"/>
              </w:rPr>
              <w:t>Trynidad</w:t>
            </w:r>
            <w:proofErr w:type="spellEnd"/>
            <w:r w:rsidRPr="00241B42">
              <w:rPr>
                <w:rStyle w:val="Other1"/>
                <w:lang w:val="en-GB"/>
              </w:rPr>
              <w:t xml:space="preserve"> i Tobago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C6D3E" w14:textId="77777777" w:rsidR="00142652" w:rsidRPr="00241B42" w:rsidRDefault="0014265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7A949" w14:textId="77777777" w:rsidR="00142652" w:rsidRPr="00241B42" w:rsidRDefault="0014265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60D1E" w14:textId="77777777" w:rsidR="00142652" w:rsidRPr="00241B42" w:rsidRDefault="0014265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20933" w14:textId="77777777" w:rsidR="00142652" w:rsidRPr="00241B42" w:rsidRDefault="0014265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7A013" w14:textId="77777777" w:rsidR="00142652" w:rsidRPr="00241B42" w:rsidRDefault="0014265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4DBBC" w14:textId="77777777" w:rsidR="00142652" w:rsidRPr="00241B42" w:rsidRDefault="00142652">
            <w:pPr>
              <w:rPr>
                <w:sz w:val="10"/>
                <w:szCs w:val="10"/>
                <w:lang w:val="en-GB"/>
              </w:rPr>
            </w:pPr>
          </w:p>
        </w:tc>
      </w:tr>
      <w:tr w:rsidR="00142652" w14:paraId="21C93F99" w14:textId="77777777">
        <w:trPr>
          <w:trHeight w:hRule="exact" w:val="854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FD41A" w14:textId="77777777" w:rsidR="00142652" w:rsidRDefault="00FD54EC">
            <w:pPr>
              <w:pStyle w:val="Other10"/>
            </w:pPr>
            <w:r>
              <w:rPr>
                <w:rStyle w:val="Other1"/>
              </w:rPr>
              <w:t>Umowa o partnerstwie gospodarczym między UE a SADC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8CCBA" w14:textId="77777777" w:rsidR="00142652" w:rsidRDefault="00FD54EC">
            <w:pPr>
              <w:pStyle w:val="Other10"/>
            </w:pPr>
            <w:r>
              <w:rPr>
                <w:rStyle w:val="Other1"/>
              </w:rPr>
              <w:t>Botswana, Eswatini, Lesotho, Mozambik, Namibia, Republika Południowej Afryki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2C8E5" w14:textId="77777777" w:rsidR="00142652" w:rsidRDefault="00FD54EC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E1E46A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pochodzenia sporządzona przez upoważnionych eksporterów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48D92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pochodzenia sporządzona przez dowolnego eksportera w odniesieniu do przesyłek, w których wartość produktów pochodzących = lub &lt; 6000 EUR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81CCB" w14:textId="77777777" w:rsidR="00142652" w:rsidRDefault="00FD54EC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3549DF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pochodzenia sporządzona przez upoważnionych eksporterów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DDB5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pochodzenia sporządzona przez dowolnego eksportera w odniesieniu do przesyłek, w których wartość produktów pochodzących = lub &lt; 6000 EUR</w:t>
            </w:r>
          </w:p>
        </w:tc>
      </w:tr>
      <w:tr w:rsidR="00142652" w14:paraId="27676FA4" w14:textId="77777777">
        <w:trPr>
          <w:trHeight w:hRule="exact" w:val="127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99810" w14:textId="77777777" w:rsidR="00142652" w:rsidRDefault="00FD54EC">
            <w:pPr>
              <w:pStyle w:val="Other10"/>
            </w:pPr>
            <w:r>
              <w:rPr>
                <w:rStyle w:val="Other1"/>
              </w:rPr>
              <w:t>Wstępny ton umowy o partnerstwie gospodarczym między UE</w:t>
            </w:r>
            <w:r>
              <w:rPr>
                <w:rStyle w:val="Other1"/>
              </w:rPr>
              <w:softHyphen/>
              <w:t xml:space="preserve"> a Wybrzeżem Kości Słoniowej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B8297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A7DC075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D2E09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pochodzenia eksporterów zarejestrowanych eksporterów w systemie REX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BC776" w14:textId="77777777" w:rsidR="00142652" w:rsidRDefault="0014265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C5002E8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C8707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pochodzenia sporządzona przez eksporterów zarejestrowanych w systemie REX</w:t>
            </w:r>
            <w:hyperlink w:anchor="bookmark2" w:tooltip="Current Document">
              <w:r>
                <w:rPr>
                  <w:rStyle w:val="Other1"/>
                </w:rPr>
                <w:t xml:space="preserve"> m</w:t>
              </w:r>
            </w:hyperlink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footnoteReference w:id="3"/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DE0D" w14:textId="77777777" w:rsidR="00142652" w:rsidRDefault="00142652"/>
        </w:tc>
      </w:tr>
      <w:tr w:rsidR="00142652" w14:paraId="07CB9AE2" w14:textId="77777777">
        <w:trPr>
          <w:trHeight w:hRule="exact" w:val="106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2B507" w14:textId="77777777" w:rsidR="00142652" w:rsidRDefault="00FD54EC">
            <w:pPr>
              <w:pStyle w:val="Other10"/>
            </w:pPr>
            <w:r>
              <w:rPr>
                <w:rStyle w:val="Other1"/>
              </w:rPr>
              <w:t>Wstępna umowa o partnerstwie gospodarczym między UE a Ghaną</w:t>
            </w:r>
            <w:r>
              <w:rPr>
                <w:rStyle w:val="Other1"/>
              </w:rPr>
              <w:softHyphen/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7AE34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8C2C082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FF6E0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pochodzenia sporządzona przez eksporterów zarejestrowanych w systemie REX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8E92F8" w14:textId="77777777" w:rsidR="00142652" w:rsidRDefault="0014265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8F24A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3C238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pochodzenia eksporterów w ICUM</w:t>
            </w:r>
            <w:hyperlink w:anchor="bookmark3" w:tooltip="Current Document">
              <w:r>
                <w:rPr>
                  <w:rStyle w:val="Other1"/>
                </w:rPr>
                <w:t xml:space="preserve"> S</w:t>
              </w:r>
            </w:hyperlink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footnoteReference w:id="4"/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C72C" w14:textId="77777777" w:rsidR="00142652" w:rsidRDefault="00142652"/>
        </w:tc>
      </w:tr>
      <w:tr w:rsidR="00142652" w14:paraId="38CEC88E" w14:textId="77777777">
        <w:trPr>
          <w:trHeight w:hRule="exact" w:val="8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196E9" w14:textId="77777777" w:rsidR="00142652" w:rsidRDefault="00FD54EC">
            <w:pPr>
              <w:pStyle w:val="Other10"/>
            </w:pPr>
            <w:r>
              <w:rPr>
                <w:rStyle w:val="Other1"/>
              </w:rPr>
              <w:t>Przejściowa umowa o partnerstwie gospodarczym między UE a Afryką Środkową (Kamerun)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73512" w14:textId="77777777" w:rsidR="00142652" w:rsidRDefault="00FD54EC">
            <w:pPr>
              <w:pStyle w:val="Other10"/>
            </w:pPr>
            <w:r>
              <w:rPr>
                <w:rStyle w:val="Other1"/>
              </w:rPr>
              <w:t>Kamerun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8BD7DE" w14:textId="77777777" w:rsidR="00142652" w:rsidRDefault="00FD54EC">
            <w:pPr>
              <w:pStyle w:val="Other10"/>
            </w:pPr>
            <w:r>
              <w:rPr>
                <w:rStyle w:val="Other1"/>
              </w:rPr>
              <w:t>Świadectwo przewozowe EUR.1- CM</w:t>
            </w:r>
            <w:hyperlink w:anchor="bookmark4" w:tooltip="Current Document">
              <w:r>
                <w:rPr>
                  <w:rStyle w:val="Other1"/>
                </w:rPr>
                <w:t xml:space="preserve"> R</w:t>
              </w:r>
            </w:hyperlink>
            <w:r>
              <w:rPr>
                <w:rStyle w:val="Other1"/>
              </w:rPr>
              <w:t xml:space="preserve"> </w:t>
            </w:r>
            <w:r>
              <w:rPr>
                <w:rStyle w:val="Other1"/>
              </w:rPr>
              <w:footnoteReference w:id="5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E541CF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pochodzenia sporządzona przez upoważnionego eksportera</w:t>
            </w:r>
            <w:hyperlink w:anchor="bookmark5" w:tooltip="Current Document">
              <w:r w:rsidR="006136E7" w:rsidRPr="006136E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</w:rPr>
                <w:t>bookmark5</w:t>
              </w:r>
            </w:hyperlink>
            <w:r>
              <w:rPr>
                <w:rStyle w:val="Other1"/>
              </w:rPr>
              <w:t xml:space="preserve"> </w:t>
            </w:r>
            <w:r>
              <w:rPr>
                <w:rStyle w:val="Other1"/>
              </w:rPr>
              <w:footnoteReference w:id="6"/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A53BB" w14:textId="77777777" w:rsidR="00142652" w:rsidRDefault="0014265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AE2E1" w14:textId="77777777" w:rsidR="00142652" w:rsidRDefault="00FD54EC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EC98D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pochodzenia sporządzona przez zarejestrowanych eksporterów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F62C" w14:textId="77777777" w:rsidR="00142652" w:rsidRDefault="00142652"/>
        </w:tc>
      </w:tr>
      <w:tr w:rsidR="00142652" w14:paraId="74C94B53" w14:textId="77777777">
        <w:trPr>
          <w:trHeight w:hRule="exact" w:val="878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0CFDE" w14:textId="77777777" w:rsidR="00142652" w:rsidRDefault="00FD54EC">
            <w:pPr>
              <w:pStyle w:val="Other10"/>
            </w:pPr>
            <w:r>
              <w:rPr>
                <w:rStyle w:val="Other1"/>
              </w:rPr>
              <w:t>UE-Kenia PE</w:t>
            </w:r>
            <w:hyperlink w:anchor="bookmark6" w:tooltip="Current Document">
              <w:r>
                <w:rPr>
                  <w:rStyle w:val="Other1"/>
                </w:rPr>
                <w:t xml:space="preserve"> A</w:t>
              </w:r>
            </w:hyperlink>
            <w:r>
              <w:rPr>
                <w:rStyle w:val="Other1"/>
              </w:rPr>
              <w:t xml:space="preserve"> </w:t>
            </w:r>
            <w:r>
              <w:rPr>
                <w:rStyle w:val="Other1"/>
              </w:rPr>
              <w:footnoteReference w:id="7"/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636127" w14:textId="77777777" w:rsidR="00142652" w:rsidRDefault="00142652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2BF0D" w14:textId="77777777" w:rsidR="00142652" w:rsidRDefault="00FD54EC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B8442A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pochodzenia sporządzona przez upoważnionych eksporterów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BF592" w14:textId="77777777" w:rsidR="00142652" w:rsidRDefault="0014265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8B49C" w14:textId="77777777" w:rsidR="00142652" w:rsidRDefault="00FD54EC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25A4F4" w14:textId="77777777" w:rsidR="00142652" w:rsidRDefault="00FD54EC">
            <w:pPr>
              <w:pStyle w:val="Other10"/>
            </w:pPr>
            <w:r>
              <w:rPr>
                <w:rStyle w:val="Other1"/>
              </w:rPr>
              <w:t>Deklaracja na fakturze sporządzona przez upoważnionych eksporterów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0E24" w14:textId="77777777" w:rsidR="00142652" w:rsidRDefault="00142652"/>
        </w:tc>
      </w:tr>
    </w:tbl>
    <w:p w14:paraId="695B9D98" w14:textId="77777777" w:rsidR="00142652" w:rsidRDefault="00142652">
      <w:pPr>
        <w:sectPr w:rsidR="00142652">
          <w:pgSz w:w="16840" w:h="11900" w:orient="landscape"/>
          <w:pgMar w:top="703" w:right="1417" w:bottom="703" w:left="1388" w:header="0" w:footer="275" w:gutter="0"/>
          <w:cols w:space="720"/>
          <w:noEndnote/>
          <w:docGrid w:linePitch="360"/>
          <w15:footnoteColumns w:val="1"/>
        </w:sectPr>
      </w:pPr>
    </w:p>
    <w:p w14:paraId="7AB9C687" w14:textId="77777777" w:rsidR="00142652" w:rsidRDefault="00FD54EC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382" behindDoc="0" locked="0" layoutInCell="1" allowOverlap="1" wp14:anchorId="26B4570A" wp14:editId="6F7BD779">
            <wp:simplePos x="0" y="0"/>
            <wp:positionH relativeFrom="page">
              <wp:posOffset>896620</wp:posOffset>
            </wp:positionH>
            <wp:positionV relativeFrom="paragraph">
              <wp:posOffset>12700</wp:posOffset>
            </wp:positionV>
            <wp:extent cx="1377950" cy="682625"/>
            <wp:effectExtent l="0" t="0" r="0" b="0"/>
            <wp:wrapSquare wrapText="right"/>
            <wp:docPr id="9" name="Kształt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udełko na zdjęcia 1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7795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ABD25" w14:textId="14C93029" w:rsidR="00142652" w:rsidRDefault="00142652">
      <w:pPr>
        <w:pStyle w:val="Bodytext10"/>
      </w:pPr>
    </w:p>
    <w:sectPr w:rsidR="00142652">
      <w:pgSz w:w="16840" w:h="11900" w:orient="landscape"/>
      <w:pgMar w:top="1022" w:right="1388" w:bottom="1022" w:left="1388" w:header="0" w:footer="594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4DB9" w14:textId="77777777" w:rsidR="00CA4CEA" w:rsidRDefault="00CA4CEA">
      <w:r>
        <w:separator/>
      </w:r>
    </w:p>
  </w:endnote>
  <w:endnote w:type="continuationSeparator" w:id="0">
    <w:p w14:paraId="03BE189D" w14:textId="77777777" w:rsidR="00CA4CEA" w:rsidRDefault="00CA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4C95" w14:textId="77777777" w:rsidR="006136E7" w:rsidRDefault="006136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E7D2" w14:textId="77777777" w:rsidR="006136E7" w:rsidRDefault="006136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1DB" w14:textId="77777777" w:rsidR="006136E7" w:rsidRDefault="006136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0A4B" w14:textId="77777777" w:rsidR="00CA4CEA" w:rsidRDefault="00CA4CEA"/>
  </w:footnote>
  <w:footnote w:type="continuationSeparator" w:id="0">
    <w:p w14:paraId="3A08ED3C" w14:textId="77777777" w:rsidR="00CA4CEA" w:rsidRDefault="00CA4CEA"/>
  </w:footnote>
  <w:footnote w:id="1">
    <w:p w14:paraId="08B9B5DF" w14:textId="77777777" w:rsidR="00142652" w:rsidRDefault="00FD54EC">
      <w:pPr>
        <w:pStyle w:val="Footnote10"/>
        <w:pBdr>
          <w:top w:val="single" w:sz="4" w:space="0" w:color="auto"/>
        </w:pBdr>
      </w:pPr>
      <w:bookmarkStart w:id="1" w:name="bookmark2"/>
      <w:bookmarkStart w:id="2" w:name="bookmark3"/>
      <w:bookmarkStart w:id="3" w:name="bookmark1"/>
      <w:bookmarkStart w:id="4" w:name="bookmark0"/>
      <w:r>
        <w:rPr>
          <w:rStyle w:val="Footnote1"/>
          <w:b/>
          <w:bCs/>
        </w:rPr>
        <w:footnoteRef/>
      </w:r>
      <w:r>
        <w:rPr>
          <w:rStyle w:val="Footnote1"/>
          <w:b/>
          <w:bCs/>
        </w:rPr>
        <w:t xml:space="preserve"> </w:t>
      </w:r>
      <w:r>
        <w:rPr>
          <w:rStyle w:val="Footnote1"/>
        </w:rPr>
        <w:t>Obowiązuje do dnia 31.8.2026 r.</w:t>
      </w:r>
      <w:bookmarkEnd w:id="4"/>
    </w:p>
  </w:footnote>
  <w:footnote w:id="2">
    <w:p w14:paraId="5782E4E2" w14:textId="77777777" w:rsidR="00142652" w:rsidRDefault="00FD54EC">
      <w:pPr>
        <w:pStyle w:val="Footnote10"/>
      </w:pPr>
      <w:r>
        <w:rPr>
          <w:rStyle w:val="Footnote1"/>
          <w:b/>
          <w:bCs/>
        </w:rPr>
        <w:footnoteRef/>
      </w:r>
      <w:r>
        <w:rPr>
          <w:rStyle w:val="Footnote1"/>
          <w:b/>
          <w:bCs/>
        </w:rPr>
        <w:t xml:space="preserve"> </w:t>
      </w:r>
      <w:r>
        <w:rPr>
          <w:rStyle w:val="Footnote1"/>
        </w:rPr>
        <w:t>Obowiązuje od 1.9.2026 r.</w:t>
      </w:r>
    </w:p>
  </w:footnote>
  <w:footnote w:id="3">
    <w:p w14:paraId="539386C5" w14:textId="77777777" w:rsidR="00142652" w:rsidRDefault="00FD54EC">
      <w:pPr>
        <w:pStyle w:val="Footnote10"/>
        <w:jc w:val="both"/>
      </w:pPr>
      <w:r>
        <w:rPr>
          <w:rStyle w:val="Footnote1"/>
          <w:b/>
          <w:bCs/>
        </w:rPr>
        <w:footnoteRef/>
      </w:r>
      <w:r>
        <w:t xml:space="preserve"> </w:t>
      </w:r>
      <w:r>
        <w:rPr>
          <w:rStyle w:val="Footnote1"/>
        </w:rPr>
        <w:t xml:space="preserve">Od </w:t>
      </w:r>
      <w:r>
        <w:rPr>
          <w:rStyle w:val="Footnote1"/>
          <w:b/>
          <w:bCs/>
        </w:rPr>
        <w:t>2.12.2022 r.,</w:t>
      </w:r>
      <w:r>
        <w:rPr>
          <w:rStyle w:val="Footnote1"/>
        </w:rPr>
        <w:t xml:space="preserve"> zgodnie z okólnikiem nr 2226/MBPE/DGD z dnia 16 listopada 2022 r. –</w:t>
      </w:r>
      <w:hyperlink r:id="rId1" w:history="1">
        <w:r>
          <w:rPr>
            <w:rStyle w:val="Footnote1"/>
          </w:rPr>
          <w:t xml:space="preserve"> </w:t>
        </w:r>
        <w:r>
          <w:rPr>
            <w:rStyle w:val="Footnote1"/>
            <w:color w:val="0000FF"/>
            <w:u w:val="single"/>
          </w:rPr>
          <w:t>https://www.douanes.ci/sites/default/files/base_documentaire/c_2226.pdf</w:t>
        </w:r>
      </w:hyperlink>
    </w:p>
  </w:footnote>
  <w:footnote w:id="4">
    <w:p w14:paraId="5DA61725" w14:textId="77777777" w:rsidR="00142652" w:rsidRDefault="00FD54EC">
      <w:pPr>
        <w:pStyle w:val="Footnote10"/>
      </w:pPr>
      <w:bookmarkStart w:id="5" w:name="bookmark4"/>
      <w:r>
        <w:rPr>
          <w:rStyle w:val="Footnote1"/>
          <w:b/>
          <w:bCs/>
        </w:rPr>
        <w:footnoteRef/>
      </w:r>
      <w:r>
        <w:rPr>
          <w:rStyle w:val="Footnote1"/>
          <w:b/>
          <w:bCs/>
        </w:rPr>
        <w:t xml:space="preserve"> </w:t>
      </w:r>
      <w:r>
        <w:rPr>
          <w:rStyle w:val="Footnote1"/>
        </w:rPr>
        <w:t>Zintegrowany System Zarządzania Celnego Urzędu Skarbowego Ghany</w:t>
      </w:r>
      <w:bookmarkEnd w:id="5"/>
    </w:p>
  </w:footnote>
  <w:footnote w:id="5">
    <w:p w14:paraId="47D2CFA4" w14:textId="77777777" w:rsidR="00142652" w:rsidRDefault="00FD54EC">
      <w:pPr>
        <w:pStyle w:val="Footnote10"/>
      </w:pPr>
      <w:r>
        <w:rPr>
          <w:rStyle w:val="Footnote1"/>
        </w:rPr>
        <w:footnoteRef/>
      </w:r>
      <w:r>
        <w:rPr>
          <w:rStyle w:val="Footnote1"/>
        </w:rPr>
        <w:t xml:space="preserve"> Zgodnie z wymogami art. 15 dekretu Kamerunu nr 2016/367 z dnia 3 sierpnia 2016 r. Wzór świadectwa przewozowego EUR.1-CMR znajduje się w załączniku III do dekretu.</w:t>
      </w:r>
    </w:p>
  </w:footnote>
  <w:footnote w:id="6">
    <w:p w14:paraId="7D74A150" w14:textId="77777777" w:rsidR="00142652" w:rsidRDefault="00FD54EC">
      <w:pPr>
        <w:pStyle w:val="Footnote10"/>
        <w:jc w:val="both"/>
      </w:pPr>
      <w:bookmarkStart w:id="6" w:name="bookmark5"/>
      <w:bookmarkStart w:id="7" w:name="bookmark6"/>
      <w:r>
        <w:rPr>
          <w:rStyle w:val="Footnote1"/>
        </w:rPr>
        <w:footnoteRef/>
      </w:r>
      <w:r>
        <w:rPr>
          <w:rStyle w:val="Footnote1"/>
        </w:rPr>
        <w:t xml:space="preserve"> Zgodnie z art. 20 dekretu Kamerunu nr 2016/367 z dnia 3 sierpnia 2016 r. Tekst deklaracji pochodzenia znajduje się w załączniku IV do dekretu.</w:t>
      </w:r>
      <w:bookmarkEnd w:id="6"/>
      <w:bookmarkEnd w:id="7"/>
    </w:p>
  </w:footnote>
  <w:footnote w:id="7">
    <w:p w14:paraId="7E5D78FD" w14:textId="77777777" w:rsidR="00142652" w:rsidRDefault="00FD54EC">
      <w:pPr>
        <w:pStyle w:val="Footnote10"/>
      </w:pPr>
      <w:r>
        <w:rPr>
          <w:rStyle w:val="Footnote1"/>
          <w:b/>
          <w:bCs/>
        </w:rPr>
        <w:footnoteRef/>
      </w:r>
      <w:r>
        <w:rPr>
          <w:rStyle w:val="Footnote1"/>
          <w:b/>
          <w:bCs/>
        </w:rPr>
        <w:t xml:space="preserve"> </w:t>
      </w:r>
      <w:r>
        <w:rPr>
          <w:rStyle w:val="Footnote1"/>
        </w:rPr>
        <w:t xml:space="preserve">Obowiązuje od </w:t>
      </w:r>
      <w:r>
        <w:rPr>
          <w:rStyle w:val="Footnote1"/>
          <w:b/>
          <w:bCs/>
        </w:rPr>
        <w:t>1.7.2024</w:t>
      </w:r>
      <w:r>
        <w:rPr>
          <w:rStyle w:val="Footnote1"/>
        </w:rPr>
        <w:t xml:space="preserve"> r. Do czasu zawarcia wzajemnego protokołu w sprawie reguł pochodzenia regułami pochodzenia mającymi zastosowanie do handlu na warunkach preferencyjnych między UE a Kenią są reguły zawarte w załączniku II do rozporządzenia Parlamentu Europejskiego i Rady (UE) 2016/1076 z dnia 8 czerwca 2016 r. w sprawie stosowania uzgodnień dotyczących produktów pochodzących z niektórych państw wchodzących w skład grupy państw Afryki, Karaibów i Pacyfiku (AKP) przewidzianych w umowach ustanawiających lub prowadzących do ustanowienia umów o partnerstwie gospodarczym.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3DA8" w14:textId="77777777" w:rsidR="006136E7" w:rsidRDefault="006136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89A6" w14:textId="77777777" w:rsidR="00142652" w:rsidRDefault="00FD54E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65DCF9" wp14:editId="6DDB14CC">
              <wp:simplePos x="0" y="0"/>
              <wp:positionH relativeFrom="page">
                <wp:posOffset>2432685</wp:posOffset>
              </wp:positionH>
              <wp:positionV relativeFrom="page">
                <wp:posOffset>543560</wp:posOffset>
              </wp:positionV>
              <wp:extent cx="1816735" cy="103505"/>
              <wp:effectExtent l="0" t="0" r="0" b="0"/>
              <wp:wrapNone/>
              <wp:docPr id="4" name="Kształ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67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9BD46" w14:textId="77777777" w:rsidR="00142652" w:rsidRDefault="00FD54EC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KOMISJA EUROPEJSKA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5DCF9" id="_x0000_t202" coordsize="21600,21600" o:spt="202" path="m,l,21600r21600,l21600,xe">
              <v:stroke joinstyle="miter"/>
              <v:path gradientshapeok="t" o:connecttype="rect"/>
            </v:shapetype>
            <v:shape id="Kształt 4" o:spid="_x0000_s1028" type="#_x0000_t202" style="position:absolute;margin-left:191.55pt;margin-top:42.8pt;width:143.0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HjogEAACUDAAAOAAAAZHJzL2Uyb0RvYy54bWysUsFu2zAMvQ/YPwi6L3bapiuMOMWGosOw&#10;YRvQ9QMUWYoFWKIgsrGz4/5t/zVKcdJhvQ27SBRJPT4+cn07+UHsTUIHoZXLRS2FCRo6F3atfPx+&#10;/+ZGCiQVOjVAMK08GJS3m9ev1mNszAX0MHQmCQYJ2IyxlT1RbKoKdW+8wgVEEzhoIXlF/Ey7qktq&#10;ZHQ/VBd1fV2NkLqYQBtE9t4dg3JT8K01mr5ai4bE0ErmRuVM5dzms9qsVbNLKvZOzzTUP7DwygUu&#10;eoa6U6TEU3IvoLzTCRAsLTT4Cqx12pQeuJtl/Vc3D72KpvTC4mA8y4T/D1Z/2X9LwnWtvJIiKM8j&#10;+oQ/SP36SeIqqzNGbDjpIXIaTe9h4imf/MjO3PRkk883tyM4zjofztqaiYTOn26W128vV1Joji3r&#10;y1W9yjDV8++YkD4Y8CIbrUw8uyKp2n9GOqaeUnKxAPduGLI/UzxSyRZN22nmvYXuwLRHHm8rA++f&#10;FMPHwOrlTTgZ6WRsZyODY3z3RFyg1M2oR6i5GM+iMJ/3Jg/7z3fJet7uzW8AAAD//wMAUEsDBBQA&#10;BgAIAAAAIQAmyzkJ3QAAAAoBAAAPAAAAZHJzL2Rvd25yZXYueG1sTI/BTsMwEETvSPyDtUjcqJNW&#10;hDTEqVAlLtwoFRI3N97GEfE6st00+XuWExxX8zTztt7NbhAThth7UpCvMhBIrTc9dQqOH68PJYiY&#10;NBk9eEIFC0bYNbc3ta6Mv9I7TofUCS6hWGkFNqWxkjK2Fp2OKz8icXb2wenEZ+ikCfrK5W6Q6ywr&#10;pNM98YLVI+4ttt+Hi1PwNH96HCPu8es8tcH2Szm8LUrd380vzyASzukPhl99VoeGnU7+QiaKQcGm&#10;3OSMKigfCxAMFMV2DeLEZJZvQTa1/P9C8wMAAP//AwBQSwECLQAUAAYACAAAACEAtoM4kv4AAADh&#10;AQAAEwAAAAAAAAAAAAAAAAAAAAAAW0NvbnRlbnRfVHlwZXNdLnhtbFBLAQItABQABgAIAAAAIQA4&#10;/SH/1gAAAJQBAAALAAAAAAAAAAAAAAAAAC8BAABfcmVscy8ucmVsc1BLAQItABQABgAIAAAAIQBC&#10;9lHjogEAACUDAAAOAAAAAAAAAAAAAAAAAC4CAABkcnMvZTJvRG9jLnhtbFBLAQItABQABgAIAAAA&#10;IQAmyzkJ3QAAAAoBAAAPAAAAAAAAAAAAAAAAAPwDAABkcnMvZG93bnJldi54bWxQSwUGAAAAAAQA&#10;BADzAAAABgUAAAAA&#10;" filled="f" stroked="f">
              <v:textbox style="mso-fit-shape-to-text:t" inset="0,0,0,0">
                <w:txbxContent>
                  <w:p w14:paraId="5B99BD46" w14:textId="77777777" w:rsidR="00142652" w:rsidRDefault="00FD54EC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sz w:val="24"/>
                        <w:szCs w:val="24"/>
                      </w:rPr>
                      <w:t>KOMISJA EUROPEJSKA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5035" w14:textId="77777777" w:rsidR="006136E7" w:rsidRDefault="006136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2"/>
    <w:rsid w:val="0014084D"/>
    <w:rsid w:val="00142652"/>
    <w:rsid w:val="00241B42"/>
    <w:rsid w:val="006136E7"/>
    <w:rsid w:val="00CA4CEA"/>
    <w:rsid w:val="00F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2BD48"/>
  <w15:docId w15:val="{0A3C7705-7850-4F33-A4AA-4A7CECEC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/>
      <w:iCs/>
      <w:smallCaps w:val="0"/>
      <w:strike w:val="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z w:val="20"/>
      <w:szCs w:val="20"/>
      <w:u w:val="single"/>
    </w:rPr>
  </w:style>
  <w:style w:type="paragraph" w:customStyle="1" w:styleId="Footnote10">
    <w:name w:val="Footnote|1"/>
    <w:basedOn w:val="Normalny"/>
    <w:link w:val="Footnote1"/>
    <w:rPr>
      <w:sz w:val="20"/>
      <w:szCs w:val="20"/>
    </w:rPr>
  </w:style>
  <w:style w:type="paragraph" w:customStyle="1" w:styleId="Picturecaption10">
    <w:name w:val="Picture caption|1"/>
    <w:basedOn w:val="Normalny"/>
    <w:link w:val="Picturecaption1"/>
    <w:rPr>
      <w:sz w:val="16"/>
      <w:szCs w:val="16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60" w:line="329" w:lineRule="auto"/>
      <w:ind w:left="5900" w:hanging="5900"/>
      <w:outlineLvl w:val="0"/>
    </w:pPr>
    <w:rPr>
      <w:i/>
      <w:iCs/>
    </w:rPr>
  </w:style>
  <w:style w:type="paragraph" w:customStyle="1" w:styleId="Bodytext30">
    <w:name w:val="Body text|3"/>
    <w:basedOn w:val="Normalny"/>
    <w:link w:val="Bodytext3"/>
    <w:pPr>
      <w:spacing w:after="140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10">
    <w:name w:val="Table caption|1"/>
    <w:basedOn w:val="Normalny"/>
    <w:link w:val="Tablecaption1"/>
    <w:pPr>
      <w:spacing w:line="276" w:lineRule="auto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alny"/>
    <w:link w:val="Other1"/>
    <w:pPr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alny"/>
    <w:link w:val="Bodytext2"/>
    <w:rPr>
      <w:sz w:val="16"/>
      <w:szCs w:val="16"/>
    </w:rPr>
  </w:style>
  <w:style w:type="paragraph" w:customStyle="1" w:styleId="Bodytext10">
    <w:name w:val="Body text|1"/>
    <w:basedOn w:val="Normalny"/>
    <w:link w:val="Bodytext1"/>
    <w:pPr>
      <w:spacing w:after="120" w:line="276" w:lineRule="auto"/>
    </w:pPr>
    <w:rPr>
      <w:rFonts w:ascii="Arial" w:eastAsia="Arial" w:hAnsi="Arial" w:cs="Arial"/>
      <w:color w:val="0000FF"/>
      <w:sz w:val="20"/>
      <w:szCs w:val="20"/>
      <w:u w:val="single"/>
    </w:rPr>
  </w:style>
  <w:style w:type="character" w:styleId="Hipercze">
    <w:name w:val="Hyperlink"/>
    <w:basedOn w:val="Domylnaczcionkaakapitu"/>
    <w:uiPriority w:val="99"/>
    <w:unhideWhenUsed/>
    <w:rsid w:val="006136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36E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36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6E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13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6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ouanes.ci/sites/default/files/base_documentaire/c_2226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2026-04-21T12:54:00Z</dcterms:created>
  <dcterms:modified xsi:type="dcterms:W3CDTF">2026-04-21T12:54:00Z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UxC4dwLulzfINJ8nQH+xvX5LNGipWa4BRSZhPgxsCvkzJcZI7RfeIuuz4FT8pxhDLgDfwQaNCWr6K7UyMu8e5w==</vt:lpwstr>
  </property>
  <property fmtid="{D5CDD505-2E9C-101B-9397-08002B2CF9AE}" pid="4" name="MFClassificationDate">
    <vt:lpwstr>2026-04-21T14:33:36.7333372+02:00</vt:lpwstr>
  </property>
  <property fmtid="{D5CDD505-2E9C-101B-9397-08002B2CF9AE}" pid="5" name="MFClassifiedBySID">
    <vt:lpwstr>UxC4dwLulzfINJ8nQH+xvX5LNGipWa4BRSZhPgxsCvm42mrIC/DSDv0ggS+FjUN/2v1BBotkLlY5aAiEhoi6ueioJmSXNe5yNTKgHFdhtw3wsdloRvXoht5C51msMc8U</vt:lpwstr>
  </property>
  <property fmtid="{D5CDD505-2E9C-101B-9397-08002B2CF9AE}" pid="6" name="MFGRNItemId">
    <vt:lpwstr>GRN-dc770568-18d1-460a-a2c8-a37904d4e009</vt:lpwstr>
  </property>
  <property fmtid="{D5CDD505-2E9C-101B-9397-08002B2CF9AE}" pid="7" name="MFHash">
    <vt:lpwstr>+H/aIc2OFUXblhqBySx3fuxWOao0V2y/GTd+Pnzk4aI=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