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DD361" w14:textId="0655D2D3" w:rsidR="00647A80" w:rsidRDefault="007A7CD1">
      <w:pPr>
        <w:spacing w:after="208" w:line="259" w:lineRule="auto"/>
        <w:ind w:left="0" w:firstLine="0"/>
        <w:jc w:val="left"/>
      </w:pPr>
      <w:r>
        <w:t xml:space="preserve"> </w:t>
      </w:r>
    </w:p>
    <w:p w14:paraId="5719F23C" w14:textId="196EDCC3" w:rsidR="00626387" w:rsidRDefault="00626387">
      <w:pPr>
        <w:spacing w:after="208" w:line="259" w:lineRule="auto"/>
        <w:ind w:left="0" w:firstLine="0"/>
        <w:jc w:val="left"/>
      </w:pPr>
    </w:p>
    <w:p w14:paraId="4D17ED12" w14:textId="77777777" w:rsidR="00626387" w:rsidRDefault="00626387">
      <w:pPr>
        <w:spacing w:after="208" w:line="259" w:lineRule="auto"/>
        <w:ind w:left="0" w:firstLine="0"/>
        <w:jc w:val="left"/>
      </w:pPr>
    </w:p>
    <w:p w14:paraId="26F31CF6" w14:textId="7C3F448C" w:rsidR="00647A80" w:rsidRDefault="007A7CD1">
      <w:pPr>
        <w:spacing w:after="0" w:line="259" w:lineRule="auto"/>
        <w:ind w:left="11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F9967D1" wp14:editId="0B30768D">
            <wp:simplePos x="0" y="0"/>
            <wp:positionH relativeFrom="column">
              <wp:posOffset>382</wp:posOffset>
            </wp:positionH>
            <wp:positionV relativeFrom="paragraph">
              <wp:posOffset>-92451</wp:posOffset>
            </wp:positionV>
            <wp:extent cx="1370536" cy="676275"/>
            <wp:effectExtent l="0" t="0" r="0" b="0"/>
            <wp:wrapSquare wrapText="bothSides"/>
            <wp:docPr id="117" name="Picture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0536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0798">
        <w:t>KOMISJA EUROPEJSKA</w:t>
      </w:r>
      <w:r>
        <w:t xml:space="preserve"> </w:t>
      </w:r>
    </w:p>
    <w:p w14:paraId="57AAD259" w14:textId="0E76BA39" w:rsidR="00647A80" w:rsidRPr="00B20798" w:rsidRDefault="007A7CD1">
      <w:pPr>
        <w:spacing w:after="0" w:line="259" w:lineRule="auto"/>
        <w:ind w:left="11"/>
        <w:jc w:val="left"/>
      </w:pPr>
      <w:r w:rsidRPr="00B20798">
        <w:rPr>
          <w:sz w:val="16"/>
        </w:rPr>
        <w:t>D</w:t>
      </w:r>
      <w:r w:rsidR="00B20798" w:rsidRPr="00B20798">
        <w:rPr>
          <w:sz w:val="16"/>
        </w:rPr>
        <w:t>YREKCJA GENERALNA</w:t>
      </w:r>
      <w:r w:rsidRPr="00B20798">
        <w:rPr>
          <w:sz w:val="16"/>
        </w:rPr>
        <w:t xml:space="preserve"> </w:t>
      </w:r>
    </w:p>
    <w:p w14:paraId="5B549C7A" w14:textId="765539E9" w:rsidR="00B20798" w:rsidRDefault="00B20798" w:rsidP="00B20798">
      <w:pPr>
        <w:spacing w:after="0" w:line="259" w:lineRule="auto"/>
        <w:ind w:left="11"/>
        <w:jc w:val="left"/>
        <w:rPr>
          <w:sz w:val="16"/>
        </w:rPr>
      </w:pPr>
      <w:r w:rsidRPr="00B20798">
        <w:rPr>
          <w:sz w:val="16"/>
        </w:rPr>
        <w:t xml:space="preserve">DO SPRAW PODATKÓW I </w:t>
      </w:r>
      <w:r w:rsidR="00626387">
        <w:rPr>
          <w:sz w:val="16"/>
        </w:rPr>
        <w:t>U</w:t>
      </w:r>
      <w:r w:rsidRPr="00B20798">
        <w:rPr>
          <w:sz w:val="16"/>
        </w:rPr>
        <w:t>INII CELNEJ</w:t>
      </w:r>
    </w:p>
    <w:p w14:paraId="1D1549D0" w14:textId="3E9BA564" w:rsidR="00B20798" w:rsidRDefault="00B20798" w:rsidP="00B20798">
      <w:pPr>
        <w:spacing w:after="0" w:line="259" w:lineRule="auto"/>
        <w:ind w:left="11"/>
        <w:jc w:val="left"/>
        <w:rPr>
          <w:sz w:val="16"/>
        </w:rPr>
      </w:pPr>
      <w:r>
        <w:rPr>
          <w:sz w:val="16"/>
        </w:rPr>
        <w:t>Cło</w:t>
      </w:r>
    </w:p>
    <w:p w14:paraId="68A19603" w14:textId="4658F2FE" w:rsidR="00647A80" w:rsidRPr="00B20798" w:rsidRDefault="00B20798" w:rsidP="00B20798">
      <w:pPr>
        <w:spacing w:after="0" w:line="259" w:lineRule="auto"/>
        <w:ind w:left="11"/>
        <w:jc w:val="left"/>
      </w:pPr>
      <w:r>
        <w:rPr>
          <w:sz w:val="16"/>
        </w:rPr>
        <w:t>Przepisy celne</w:t>
      </w:r>
    </w:p>
    <w:p w14:paraId="1A04D605" w14:textId="68848BF7" w:rsidR="00647A80" w:rsidRPr="00B20798" w:rsidRDefault="007A7CD1">
      <w:pPr>
        <w:spacing w:after="0" w:line="259" w:lineRule="auto"/>
        <w:ind w:left="5112"/>
        <w:jc w:val="left"/>
      </w:pPr>
      <w:r w:rsidRPr="00B20798">
        <w:t>Bru</w:t>
      </w:r>
      <w:r w:rsidR="00B20798" w:rsidRPr="00B20798">
        <w:t>ksela</w:t>
      </w:r>
      <w:r w:rsidRPr="00B20798">
        <w:t xml:space="preserve">, 10 </w:t>
      </w:r>
      <w:r w:rsidR="00B20798" w:rsidRPr="00B20798">
        <w:t>czerwca</w:t>
      </w:r>
      <w:r w:rsidRPr="00B20798">
        <w:t xml:space="preserve"> 2026  </w:t>
      </w:r>
    </w:p>
    <w:p w14:paraId="46934AFE" w14:textId="77777777" w:rsidR="00647A80" w:rsidRPr="00B20798" w:rsidRDefault="007A7CD1">
      <w:pPr>
        <w:spacing w:after="257" w:line="259" w:lineRule="auto"/>
        <w:ind w:left="3039" w:firstLine="0"/>
        <w:jc w:val="center"/>
        <w:rPr>
          <w:lang w:val="en-GB"/>
        </w:rPr>
      </w:pPr>
      <w:r w:rsidRPr="00B20798">
        <w:rPr>
          <w:sz w:val="20"/>
          <w:lang w:val="en-GB"/>
        </w:rPr>
        <w:t xml:space="preserve">TAXUD/A2/SPE/ </w:t>
      </w:r>
    </w:p>
    <w:p w14:paraId="489CB3FA" w14:textId="77777777" w:rsidR="00DD255C" w:rsidRDefault="007A7CD1">
      <w:pPr>
        <w:spacing w:after="216" w:line="259" w:lineRule="auto"/>
        <w:ind w:left="0" w:firstLine="0"/>
        <w:jc w:val="left"/>
        <w:rPr>
          <w:b/>
          <w:lang w:val="en-GB"/>
        </w:rPr>
      </w:pPr>
      <w:r w:rsidRPr="00B20798">
        <w:rPr>
          <w:b/>
          <w:lang w:val="en-GB"/>
        </w:rPr>
        <w:t xml:space="preserve"> </w:t>
      </w:r>
      <w:r w:rsidR="00EA179F">
        <w:rPr>
          <w:b/>
          <w:lang w:val="en-GB"/>
        </w:rPr>
        <w:tab/>
      </w:r>
      <w:r w:rsidR="00EA179F">
        <w:rPr>
          <w:b/>
          <w:lang w:val="en-GB"/>
        </w:rPr>
        <w:tab/>
      </w:r>
      <w:r w:rsidR="00EA179F">
        <w:rPr>
          <w:b/>
          <w:lang w:val="en-GB"/>
        </w:rPr>
        <w:tab/>
      </w:r>
      <w:r w:rsidR="00EA179F">
        <w:rPr>
          <w:b/>
          <w:lang w:val="en-GB"/>
        </w:rPr>
        <w:tab/>
        <w:t xml:space="preserve"> </w:t>
      </w:r>
    </w:p>
    <w:p w14:paraId="1BB0CF90" w14:textId="243E3B6E" w:rsidR="00647A80" w:rsidRPr="00DD255C" w:rsidRDefault="00DD255C" w:rsidP="00DD255C">
      <w:pPr>
        <w:spacing w:after="216" w:line="259" w:lineRule="auto"/>
        <w:ind w:left="2331" w:firstLine="708"/>
        <w:jc w:val="left"/>
      </w:pPr>
      <w:r w:rsidRPr="00DD255C">
        <w:rPr>
          <w:b/>
        </w:rPr>
        <w:t xml:space="preserve">  </w:t>
      </w:r>
      <w:r>
        <w:rPr>
          <w:b/>
        </w:rPr>
        <w:t xml:space="preserve">      </w:t>
      </w:r>
      <w:r w:rsidR="00EA179F" w:rsidRPr="00626387">
        <w:rPr>
          <w:color w:val="FF0000"/>
        </w:rPr>
        <w:t>TŁUMACZENIE ROBOCZE</w:t>
      </w:r>
      <w:r w:rsidR="00EA179F">
        <w:rPr>
          <w:color w:val="FF0000"/>
        </w:rPr>
        <w:t xml:space="preserve"> NA </w:t>
      </w:r>
      <w:r>
        <w:rPr>
          <w:color w:val="FF0000"/>
        </w:rPr>
        <w:t>JĘZYK POLSKI</w:t>
      </w:r>
    </w:p>
    <w:p w14:paraId="69178041" w14:textId="77777777" w:rsidR="00647A80" w:rsidRPr="00DD255C" w:rsidRDefault="007A7CD1">
      <w:pPr>
        <w:spacing w:after="254" w:line="259" w:lineRule="auto"/>
        <w:ind w:left="0" w:firstLine="0"/>
        <w:jc w:val="left"/>
      </w:pPr>
      <w:r w:rsidRPr="00DD255C">
        <w:rPr>
          <w:b/>
        </w:rPr>
        <w:t xml:space="preserve"> </w:t>
      </w:r>
    </w:p>
    <w:p w14:paraId="45A03F9D" w14:textId="34C966FD" w:rsidR="00647A80" w:rsidRDefault="007A7CD1">
      <w:pPr>
        <w:pStyle w:val="Nagwek1"/>
        <w:rPr>
          <w:lang w:val="en-GB"/>
        </w:rPr>
      </w:pPr>
      <w:r w:rsidRPr="00B20798">
        <w:rPr>
          <w:lang w:val="en-GB"/>
        </w:rPr>
        <w:t>TAXUD/A2/SPE/2026/11_</w:t>
      </w:r>
      <w:r w:rsidRPr="00B20798">
        <w:rPr>
          <w:color w:val="FF0000"/>
          <w:lang w:val="en-GB"/>
        </w:rPr>
        <w:t>rev1</w:t>
      </w:r>
      <w:r w:rsidRPr="00B20798">
        <w:rPr>
          <w:lang w:val="en-GB"/>
        </w:rPr>
        <w:t xml:space="preserve"> </w:t>
      </w:r>
    </w:p>
    <w:p w14:paraId="0D355A04" w14:textId="77777777" w:rsidR="00AA46A0" w:rsidRPr="00EA179F" w:rsidRDefault="00AA46A0" w:rsidP="00AA46A0">
      <w:pPr>
        <w:spacing w:after="202" w:line="237" w:lineRule="auto"/>
        <w:ind w:left="0" w:firstLine="0"/>
        <w:jc w:val="center"/>
        <w:rPr>
          <w:b/>
          <w:sz w:val="28"/>
          <w:szCs w:val="28"/>
          <w:lang w:val="en-GB"/>
        </w:rPr>
      </w:pPr>
    </w:p>
    <w:p w14:paraId="58D15059" w14:textId="26545B0A" w:rsidR="00647A80" w:rsidRPr="00AA46A0" w:rsidRDefault="00B20798" w:rsidP="00AA46A0">
      <w:pPr>
        <w:spacing w:after="202" w:line="237" w:lineRule="auto"/>
        <w:ind w:left="0" w:firstLine="0"/>
        <w:jc w:val="center"/>
        <w:rPr>
          <w:sz w:val="28"/>
          <w:szCs w:val="28"/>
        </w:rPr>
      </w:pPr>
      <w:r w:rsidRPr="00AA46A0">
        <w:rPr>
          <w:b/>
          <w:sz w:val="28"/>
          <w:szCs w:val="28"/>
        </w:rPr>
        <w:t>Wytyczne dotyczące wdrażania zawieszenia procedur</w:t>
      </w:r>
      <w:r w:rsidR="00AA46A0" w:rsidRPr="00AA46A0">
        <w:rPr>
          <w:b/>
          <w:sz w:val="28"/>
          <w:szCs w:val="28"/>
        </w:rPr>
        <w:t>y</w:t>
      </w:r>
      <w:r w:rsidRPr="00AA46A0">
        <w:rPr>
          <w:b/>
          <w:sz w:val="28"/>
          <w:szCs w:val="28"/>
        </w:rPr>
        <w:t xml:space="preserve"> uszlachetniania czynnego w odniesieniu do surowego cukru trzcinowego w celu uzyskania cukru białego</w:t>
      </w:r>
    </w:p>
    <w:p w14:paraId="3F15071F" w14:textId="77777777" w:rsidR="006645D7" w:rsidRPr="00EA179F" w:rsidRDefault="006645D7" w:rsidP="00AA4323">
      <w:pPr>
        <w:spacing w:line="240" w:lineRule="auto"/>
        <w:ind w:left="-5"/>
      </w:pPr>
    </w:p>
    <w:p w14:paraId="5FD4E173" w14:textId="12473E70" w:rsidR="00B20798" w:rsidRPr="00AA4323" w:rsidRDefault="00B20798" w:rsidP="00AA4323">
      <w:pPr>
        <w:spacing w:before="120" w:after="120" w:line="240" w:lineRule="auto"/>
        <w:ind w:left="-5"/>
        <w:jc w:val="left"/>
        <w:rPr>
          <w:szCs w:val="24"/>
        </w:rPr>
      </w:pPr>
      <w:r w:rsidRPr="00AA4323">
        <w:rPr>
          <w:szCs w:val="24"/>
        </w:rPr>
        <w:t xml:space="preserve">W dniu 26 maja 2026 r. przyjęto </w:t>
      </w:r>
      <w:r w:rsidRPr="00AA4323">
        <w:rPr>
          <w:i/>
          <w:iCs/>
          <w:szCs w:val="24"/>
        </w:rPr>
        <w:t>rozporządzenie wykonawcze Komisji (UE) 2026/1124 z dnia 26 maja 2026 r. w sprawie zawieszenia procedury uszlachetniania czynnego surowego cukru trzcinowego w celu uzyskania cukru białego</w:t>
      </w:r>
      <w:r w:rsidRPr="00AA4323">
        <w:rPr>
          <w:szCs w:val="24"/>
        </w:rPr>
        <w:t xml:space="preserve"> (zwane dalej</w:t>
      </w:r>
      <w:r w:rsidR="009E3A14">
        <w:rPr>
          <w:szCs w:val="24"/>
        </w:rPr>
        <w:t xml:space="preserve"> </w:t>
      </w:r>
      <w:r w:rsidR="00AA4323">
        <w:rPr>
          <w:szCs w:val="24"/>
        </w:rPr>
        <w:t>”</w:t>
      </w:r>
      <w:r w:rsidRPr="00AA4323">
        <w:rPr>
          <w:szCs w:val="24"/>
        </w:rPr>
        <w:t xml:space="preserve">rozporządzeniem”). Rozporządzenie </w:t>
      </w:r>
      <w:r w:rsidR="00AA46A0" w:rsidRPr="00AA4323">
        <w:rPr>
          <w:szCs w:val="24"/>
        </w:rPr>
        <w:t xml:space="preserve">to </w:t>
      </w:r>
      <w:r w:rsidRPr="00AA4323">
        <w:rPr>
          <w:szCs w:val="24"/>
        </w:rPr>
        <w:t xml:space="preserve">zawiesza stosowanie </w:t>
      </w:r>
      <w:r w:rsidR="00AA46A0" w:rsidRPr="00AA4323">
        <w:rPr>
          <w:szCs w:val="24"/>
        </w:rPr>
        <w:t xml:space="preserve">procedury </w:t>
      </w:r>
      <w:r w:rsidRPr="00AA4323">
        <w:rPr>
          <w:szCs w:val="24"/>
        </w:rPr>
        <w:t xml:space="preserve">uszlachetniania czynnego w odniesieniu do surowego cukru trzcinowego objętego kodami CN 1701 13 90 i 1701 14 90, wykorzystywanego do </w:t>
      </w:r>
      <w:r w:rsidR="00AA46A0" w:rsidRPr="00AA4323">
        <w:rPr>
          <w:szCs w:val="24"/>
        </w:rPr>
        <w:t>uzyskania</w:t>
      </w:r>
      <w:r w:rsidRPr="00AA4323">
        <w:rPr>
          <w:szCs w:val="24"/>
        </w:rPr>
        <w:t xml:space="preserve"> produktów przetworzonych objętych kodem CN 1701 99 10 (cukier biały) (zwanych dalej „</w:t>
      </w:r>
      <w:r w:rsidR="00AA46A0" w:rsidRPr="00AA4323">
        <w:rPr>
          <w:szCs w:val="24"/>
        </w:rPr>
        <w:t>po</w:t>
      </w:r>
      <w:r w:rsidRPr="00AA4323">
        <w:rPr>
          <w:szCs w:val="24"/>
        </w:rPr>
        <w:t xml:space="preserve">zwoleniami </w:t>
      </w:r>
      <w:r w:rsidR="00CA5A86" w:rsidRPr="00AA4323">
        <w:rPr>
          <w:szCs w:val="24"/>
        </w:rPr>
        <w:t>IPO</w:t>
      </w:r>
      <w:r w:rsidR="00AA46A0" w:rsidRPr="00AA4323">
        <w:rPr>
          <w:szCs w:val="24"/>
        </w:rPr>
        <w:t xml:space="preserve"> </w:t>
      </w:r>
      <w:r w:rsidR="00CA5A86" w:rsidRPr="00AA4323">
        <w:rPr>
          <w:szCs w:val="24"/>
        </w:rPr>
        <w:t xml:space="preserve">dla </w:t>
      </w:r>
      <w:r w:rsidRPr="00AA4323">
        <w:rPr>
          <w:szCs w:val="24"/>
        </w:rPr>
        <w:t>cuk</w:t>
      </w:r>
      <w:r w:rsidR="00AA46A0" w:rsidRPr="00AA4323">
        <w:rPr>
          <w:szCs w:val="24"/>
        </w:rPr>
        <w:t>ru</w:t>
      </w:r>
      <w:r w:rsidRPr="00AA4323">
        <w:rPr>
          <w:szCs w:val="24"/>
        </w:rPr>
        <w:t>”).  </w:t>
      </w:r>
    </w:p>
    <w:p w14:paraId="4ABA0E2F" w14:textId="64B658FB" w:rsidR="00647A80" w:rsidRPr="006645D7" w:rsidRDefault="00AA46A0" w:rsidP="00AA4323">
      <w:pPr>
        <w:spacing w:before="120" w:after="120" w:line="240" w:lineRule="auto"/>
        <w:ind w:left="-5"/>
        <w:jc w:val="left"/>
        <w:rPr>
          <w:szCs w:val="24"/>
        </w:rPr>
      </w:pPr>
      <w:r w:rsidRPr="006645D7">
        <w:rPr>
          <w:szCs w:val="24"/>
        </w:rPr>
        <w:t>W praktyce rozporządzenie będzie miało następujące skutki</w:t>
      </w:r>
      <w:r w:rsidR="007A7CD1" w:rsidRPr="006645D7">
        <w:rPr>
          <w:szCs w:val="24"/>
        </w:rPr>
        <w:t xml:space="preserve">:   </w:t>
      </w:r>
    </w:p>
    <w:p w14:paraId="671E56F8" w14:textId="7742A0C4" w:rsidR="00B20798" w:rsidRPr="006645D7" w:rsidRDefault="00B20798" w:rsidP="00AA4323">
      <w:pPr>
        <w:numPr>
          <w:ilvl w:val="0"/>
          <w:numId w:val="1"/>
        </w:numPr>
        <w:spacing w:before="120" w:after="120" w:line="240" w:lineRule="auto"/>
        <w:ind w:hanging="360"/>
        <w:jc w:val="left"/>
        <w:rPr>
          <w:szCs w:val="24"/>
        </w:rPr>
      </w:pPr>
      <w:r w:rsidRPr="006645D7">
        <w:rPr>
          <w:szCs w:val="24"/>
        </w:rPr>
        <w:t xml:space="preserve">Od dnia </w:t>
      </w:r>
      <w:r w:rsidR="00CA5A86" w:rsidRPr="006645D7">
        <w:rPr>
          <w:szCs w:val="24"/>
        </w:rPr>
        <w:t xml:space="preserve">wejścia w życie </w:t>
      </w:r>
      <w:r w:rsidRPr="006645D7">
        <w:rPr>
          <w:szCs w:val="24"/>
        </w:rPr>
        <w:t>rozporządzenia zgłoszenia celne do</w:t>
      </w:r>
      <w:r w:rsidR="00CA5A86" w:rsidRPr="006645D7">
        <w:rPr>
          <w:szCs w:val="24"/>
        </w:rPr>
        <w:t>tyczące</w:t>
      </w:r>
      <w:r w:rsidRPr="006645D7">
        <w:rPr>
          <w:szCs w:val="24"/>
        </w:rPr>
        <w:t xml:space="preserve"> wywozu cukru białego w ramach procedury uszlachetniania czynnego (kod procedury celnej 11 – IP EX/IM) </w:t>
      </w:r>
      <w:r w:rsidR="00CA5A86" w:rsidRPr="006645D7">
        <w:rPr>
          <w:szCs w:val="24"/>
        </w:rPr>
        <w:t>będą</w:t>
      </w:r>
      <w:r w:rsidRPr="006645D7">
        <w:rPr>
          <w:szCs w:val="24"/>
        </w:rPr>
        <w:t xml:space="preserve"> odrzuc</w:t>
      </w:r>
      <w:r w:rsidR="00CA5A86" w:rsidRPr="006645D7">
        <w:rPr>
          <w:szCs w:val="24"/>
        </w:rPr>
        <w:t>ane</w:t>
      </w:r>
      <w:r w:rsidRPr="006645D7">
        <w:rPr>
          <w:szCs w:val="24"/>
        </w:rPr>
        <w:t>;  </w:t>
      </w:r>
    </w:p>
    <w:p w14:paraId="76600E55" w14:textId="77777777" w:rsidR="006463C4" w:rsidRDefault="00CA5A86" w:rsidP="006463C4">
      <w:pPr>
        <w:numPr>
          <w:ilvl w:val="0"/>
          <w:numId w:val="1"/>
        </w:numPr>
        <w:spacing w:before="120" w:after="120" w:line="240" w:lineRule="auto"/>
        <w:ind w:hanging="360"/>
        <w:jc w:val="left"/>
        <w:rPr>
          <w:szCs w:val="24"/>
        </w:rPr>
      </w:pPr>
      <w:r w:rsidRPr="006645D7">
        <w:rPr>
          <w:szCs w:val="24"/>
        </w:rPr>
        <w:t>W 30-dniowym okresie przejściowym po wejściu w życie niniejszego rozporządzenia dozwolony będzie przywóz towarów w ramach istniejących pozwoleń na uszlachetnianie czynne, a następnie powrotny wywóz produktów przetworzonych (kod procedury celnej 31 IP IM/EX). Po upływie tego okresu zgłoszenia celne dotyczące przywozu surowego cukru trzcinowego (kody procedur celnych 51 i 54), złożone na podstawie pozwoleń na uszlachetnianie czynne, które były ważne przed wejściem w życie rozporządzenia, będą odrzucane.</w:t>
      </w:r>
    </w:p>
    <w:p w14:paraId="2304B748" w14:textId="77777777" w:rsidR="006463C4" w:rsidRDefault="00CA5A86" w:rsidP="006463C4">
      <w:pPr>
        <w:spacing w:before="120" w:after="120" w:line="240" w:lineRule="auto"/>
        <w:ind w:left="720" w:firstLine="0"/>
        <w:jc w:val="left"/>
        <w:rPr>
          <w:szCs w:val="24"/>
        </w:rPr>
      </w:pPr>
      <w:r w:rsidRPr="006463C4">
        <w:rPr>
          <w:szCs w:val="24"/>
        </w:rPr>
        <w:t>Należy zauważyć, że 30-dniowy okres przejściowy ustanowiony w art. 1 ust. 2 rozporządzenia został przedłużony postanowieniem Prezesa Sądu z dnia 5 czerwca 2026 r. wprowadzającym środki tymczasowe w sprawie T-351/26 R najpóźniej do czasu wydania przez Sąd orzeczenia w sprawie wniosku o zastosowanie środków tymczasowych.</w:t>
      </w:r>
    </w:p>
    <w:p w14:paraId="1DF86090" w14:textId="77777777" w:rsidR="006463C4" w:rsidRDefault="00C20396" w:rsidP="006463C4">
      <w:pPr>
        <w:spacing w:before="120" w:after="120" w:line="240" w:lineRule="auto"/>
        <w:ind w:left="720" w:firstLine="0"/>
        <w:jc w:val="left"/>
        <w:rPr>
          <w:szCs w:val="24"/>
        </w:rPr>
      </w:pPr>
      <w:r w:rsidRPr="006463C4">
        <w:rPr>
          <w:szCs w:val="24"/>
        </w:rPr>
        <w:lastRenderedPageBreak/>
        <w:t>Jednocześnie, jak dalej zauważono w Postanowieniu:</w:t>
      </w:r>
    </w:p>
    <w:p w14:paraId="12BB0D2E" w14:textId="77777777" w:rsidR="006463C4" w:rsidRDefault="00AA4323" w:rsidP="006463C4">
      <w:pPr>
        <w:spacing w:before="120" w:after="120" w:line="240" w:lineRule="auto"/>
        <w:ind w:left="720" w:firstLine="0"/>
        <w:jc w:val="left"/>
        <w:rPr>
          <w:szCs w:val="24"/>
        </w:rPr>
      </w:pPr>
      <w:r w:rsidRPr="006463C4">
        <w:rPr>
          <w:szCs w:val="24"/>
        </w:rPr>
        <w:t>„</w:t>
      </w:r>
      <w:r w:rsidR="00C20396" w:rsidRPr="006463C4">
        <w:rPr>
          <w:szCs w:val="24"/>
        </w:rPr>
        <w:t>Należy zauważyć, że zgodnie z art. 157 paragraf 2 regulaminu postępowania przed sądem, [...] postanowienie może zostać zmienione lub uchylone nawet bez złożenia wniosku przez którąkolwiek ze stron, a nawet przed wydaniem tego postanowienia.</w:t>
      </w:r>
    </w:p>
    <w:p w14:paraId="3648AC20" w14:textId="1F3D6E3E" w:rsidR="00C20396" w:rsidRPr="006463C4" w:rsidRDefault="00C20396" w:rsidP="006463C4">
      <w:pPr>
        <w:spacing w:before="120" w:after="120" w:line="240" w:lineRule="auto"/>
        <w:ind w:left="720" w:firstLine="0"/>
        <w:jc w:val="left"/>
        <w:rPr>
          <w:szCs w:val="24"/>
        </w:rPr>
      </w:pPr>
      <w:r w:rsidRPr="006463C4">
        <w:rPr>
          <w:szCs w:val="24"/>
        </w:rPr>
        <w:t>Ponadto decyzja o tym, czy skorzystać z przedłużenia 30-dniowego okresu przejściowego przyznanego niniejszym postanowieniem, czy też nie, jest decyzją handlową wnioskodawcy i może wiązać się z ryzykiem finansowym, zarówno w przypadku oddalenia wniosku o zastosowanie środków tymczasowych i uchylenia niniejszego postanowienia, jak i w przypadku oddalenia wniosku o stwierdzenie nieważności”.</w:t>
      </w:r>
    </w:p>
    <w:p w14:paraId="375D7150" w14:textId="0D7EF10E" w:rsidR="006F33EC" w:rsidRPr="00AA4323" w:rsidRDefault="00C20396" w:rsidP="00AA4323">
      <w:pPr>
        <w:spacing w:before="120" w:after="120" w:line="240" w:lineRule="auto"/>
        <w:jc w:val="left"/>
        <w:rPr>
          <w:szCs w:val="24"/>
        </w:rPr>
      </w:pPr>
      <w:r w:rsidRPr="00AA4323">
        <w:rPr>
          <w:szCs w:val="24"/>
        </w:rPr>
        <w:t xml:space="preserve">Po upływie okresu zawieszenia przewidzianego w rozporządzeniu (tj. jednego roku, </w:t>
      </w:r>
      <w:r w:rsidR="006F33EC" w:rsidRPr="00AA4323">
        <w:rPr>
          <w:szCs w:val="24"/>
        </w:rPr>
        <w:t xml:space="preserve">o ile nie </w:t>
      </w:r>
      <w:r w:rsidRPr="00AA4323">
        <w:rPr>
          <w:szCs w:val="24"/>
        </w:rPr>
        <w:t xml:space="preserve">zostanie </w:t>
      </w:r>
      <w:r w:rsidR="006F33EC" w:rsidRPr="00AA4323">
        <w:rPr>
          <w:szCs w:val="24"/>
        </w:rPr>
        <w:t xml:space="preserve">on </w:t>
      </w:r>
      <w:r w:rsidRPr="00AA4323">
        <w:rPr>
          <w:szCs w:val="24"/>
        </w:rPr>
        <w:t xml:space="preserve">przedłużony) zawieszone pozwolenia na uszlachetnianie czynne będą ważne przez pozostały okres </w:t>
      </w:r>
      <w:r w:rsidR="006F33EC" w:rsidRPr="00AA4323">
        <w:rPr>
          <w:szCs w:val="24"/>
        </w:rPr>
        <w:t xml:space="preserve">ważności </w:t>
      </w:r>
      <w:r w:rsidRPr="00AA4323">
        <w:rPr>
          <w:szCs w:val="24"/>
        </w:rPr>
        <w:t xml:space="preserve">pozwolenia, pod warunkiem że warunki udzielenia pozwolenia są nadal spełnione.   </w:t>
      </w:r>
    </w:p>
    <w:p w14:paraId="4964C12D" w14:textId="77777777" w:rsidR="006645D7" w:rsidRPr="00AA4323" w:rsidRDefault="006F33EC" w:rsidP="00AA4323">
      <w:pPr>
        <w:spacing w:before="120" w:after="120" w:line="240" w:lineRule="auto"/>
        <w:ind w:left="0" w:firstLine="0"/>
        <w:jc w:val="left"/>
        <w:rPr>
          <w:szCs w:val="24"/>
        </w:rPr>
      </w:pPr>
      <w:r w:rsidRPr="00AA4323">
        <w:rPr>
          <w:szCs w:val="24"/>
        </w:rPr>
        <w:t>Na przykład, jeżeli pozwolenie IPO zostało udzielone na okres 3 lat od dnia 1 stycznia 2025 roku (data wygaśnięcia: 1 stycznia 2028 roku), a zawieszenie na mocy rozporządzenia wynosi 12 miesięcy, data wygaśnięcia pozwolenia IPO pozostaje niezmieniona i przypada na dzień 1 stycznia 2028 roku.</w:t>
      </w:r>
    </w:p>
    <w:p w14:paraId="0DA5FE62" w14:textId="686A6958" w:rsidR="006645D7" w:rsidRPr="00AA4323" w:rsidRDefault="00626387" w:rsidP="00AA4323">
      <w:pPr>
        <w:spacing w:before="120" w:after="120" w:line="240" w:lineRule="auto"/>
        <w:jc w:val="left"/>
        <w:rPr>
          <w:szCs w:val="24"/>
        </w:rPr>
      </w:pPr>
      <w:r w:rsidRPr="00AA4323">
        <w:rPr>
          <w:szCs w:val="24"/>
        </w:rPr>
        <w:t xml:space="preserve">Co więcej, </w:t>
      </w:r>
      <w:r w:rsidR="00B20798" w:rsidRPr="00AA4323">
        <w:rPr>
          <w:szCs w:val="24"/>
        </w:rPr>
        <w:t xml:space="preserve">nawet </w:t>
      </w:r>
      <w:r w:rsidRPr="00AA4323">
        <w:rPr>
          <w:szCs w:val="24"/>
        </w:rPr>
        <w:t xml:space="preserve">gdyby </w:t>
      </w:r>
      <w:r w:rsidR="00B20798" w:rsidRPr="00AA4323">
        <w:rPr>
          <w:szCs w:val="24"/>
        </w:rPr>
        <w:t xml:space="preserve">w okresie zawieszenia </w:t>
      </w:r>
      <w:r w:rsidRPr="00AA4323">
        <w:rPr>
          <w:szCs w:val="24"/>
        </w:rPr>
        <w:t xml:space="preserve">udzielono </w:t>
      </w:r>
      <w:r w:rsidR="00B20798" w:rsidRPr="00AA4323">
        <w:rPr>
          <w:szCs w:val="24"/>
        </w:rPr>
        <w:t>now</w:t>
      </w:r>
      <w:r w:rsidRPr="00AA4323">
        <w:rPr>
          <w:szCs w:val="24"/>
        </w:rPr>
        <w:t>ych</w:t>
      </w:r>
      <w:r w:rsidR="00B20798" w:rsidRPr="00AA4323">
        <w:rPr>
          <w:szCs w:val="24"/>
        </w:rPr>
        <w:t xml:space="preserve"> pozwole</w:t>
      </w:r>
      <w:r w:rsidRPr="00AA4323">
        <w:rPr>
          <w:szCs w:val="24"/>
        </w:rPr>
        <w:t>ń</w:t>
      </w:r>
      <w:r w:rsidR="00B20798" w:rsidRPr="00AA4323">
        <w:rPr>
          <w:szCs w:val="24"/>
        </w:rPr>
        <w:t xml:space="preserve"> </w:t>
      </w:r>
      <w:r w:rsidRPr="00AA4323">
        <w:rPr>
          <w:szCs w:val="24"/>
        </w:rPr>
        <w:t xml:space="preserve">IPO </w:t>
      </w:r>
      <w:r w:rsidR="00B20798" w:rsidRPr="00AA4323">
        <w:rPr>
          <w:szCs w:val="24"/>
        </w:rPr>
        <w:t>na przywóz cukru</w:t>
      </w:r>
      <w:r w:rsidRPr="00AA4323">
        <w:rPr>
          <w:szCs w:val="24"/>
        </w:rPr>
        <w:t>, pozwolenia te</w:t>
      </w:r>
      <w:r w:rsidR="00B20798" w:rsidRPr="00AA4323">
        <w:rPr>
          <w:szCs w:val="24"/>
        </w:rPr>
        <w:t xml:space="preserve"> zostaną automatycznie uznane za zawieszone. Okres ważności pozwolenia </w:t>
      </w:r>
      <w:r w:rsidRPr="00AA4323">
        <w:rPr>
          <w:szCs w:val="24"/>
        </w:rPr>
        <w:t xml:space="preserve">IPO </w:t>
      </w:r>
      <w:r w:rsidR="00B20798" w:rsidRPr="00AA4323">
        <w:rPr>
          <w:szCs w:val="24"/>
        </w:rPr>
        <w:t xml:space="preserve">udzielonego w okresie zawieszenia powinien rozpocząć się po </w:t>
      </w:r>
      <w:r w:rsidRPr="00AA4323">
        <w:rPr>
          <w:szCs w:val="24"/>
        </w:rPr>
        <w:t xml:space="preserve">upływie </w:t>
      </w:r>
      <w:r w:rsidR="00B20798" w:rsidRPr="00AA4323">
        <w:rPr>
          <w:szCs w:val="24"/>
        </w:rPr>
        <w:t>okresu zawieszenia przewidzianego w rozporządzeniu.</w:t>
      </w:r>
    </w:p>
    <w:sectPr w:rsidR="006645D7" w:rsidRPr="00AA4323">
      <w:pgSz w:w="11906" w:h="16838"/>
      <w:pgMar w:top="657" w:right="1699" w:bottom="1076" w:left="158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48808" w14:textId="77777777" w:rsidR="00756884" w:rsidRDefault="00756884" w:rsidP="00B20798">
      <w:pPr>
        <w:spacing w:after="0" w:line="240" w:lineRule="auto"/>
      </w:pPr>
      <w:r>
        <w:separator/>
      </w:r>
    </w:p>
  </w:endnote>
  <w:endnote w:type="continuationSeparator" w:id="0">
    <w:p w14:paraId="10F57955" w14:textId="77777777" w:rsidR="00756884" w:rsidRDefault="00756884" w:rsidP="00B20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7F024" w14:textId="77777777" w:rsidR="00756884" w:rsidRDefault="00756884" w:rsidP="00B20798">
      <w:pPr>
        <w:spacing w:after="0" w:line="240" w:lineRule="auto"/>
      </w:pPr>
      <w:r>
        <w:separator/>
      </w:r>
    </w:p>
  </w:footnote>
  <w:footnote w:type="continuationSeparator" w:id="0">
    <w:p w14:paraId="7A302466" w14:textId="77777777" w:rsidR="00756884" w:rsidRDefault="00756884" w:rsidP="00B20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C3BA0"/>
    <w:multiLevelType w:val="hybridMultilevel"/>
    <w:tmpl w:val="4C1E9572"/>
    <w:lvl w:ilvl="0" w:tplc="C5DC3E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AEE2B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6C5A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92B5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D6B8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96EA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DCD1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6480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54B9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902F8F"/>
    <w:multiLevelType w:val="hybridMultilevel"/>
    <w:tmpl w:val="40685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A80"/>
    <w:rsid w:val="003C654B"/>
    <w:rsid w:val="003E345E"/>
    <w:rsid w:val="00475AA5"/>
    <w:rsid w:val="00626387"/>
    <w:rsid w:val="006463C4"/>
    <w:rsid w:val="00647A80"/>
    <w:rsid w:val="006645D7"/>
    <w:rsid w:val="006F33EC"/>
    <w:rsid w:val="00756884"/>
    <w:rsid w:val="007A7CD1"/>
    <w:rsid w:val="00846090"/>
    <w:rsid w:val="009E3A14"/>
    <w:rsid w:val="00AA4323"/>
    <w:rsid w:val="00AA46A0"/>
    <w:rsid w:val="00B20798"/>
    <w:rsid w:val="00C20396"/>
    <w:rsid w:val="00CA5A86"/>
    <w:rsid w:val="00DD255C"/>
    <w:rsid w:val="00EA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FC3C8"/>
  <w15:docId w15:val="{E5675F68-A479-4607-9FA9-CA057B90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28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10"/>
      <w:ind w:righ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CA5A86"/>
    <w:pPr>
      <w:ind w:left="720"/>
      <w:contextualSpacing/>
    </w:pPr>
  </w:style>
  <w:style w:type="paragraph" w:styleId="Stopka">
    <w:name w:val="footer"/>
    <w:link w:val="StopkaZnak"/>
    <w:uiPriority w:val="99"/>
    <w:unhideWhenUsed/>
    <w:rsid w:val="00C20396"/>
    <w:pPr>
      <w:tabs>
        <w:tab w:val="left" w:pos="6521"/>
      </w:tabs>
      <w:spacing w:after="0" w:line="200" w:lineRule="exact"/>
      <w:ind w:left="1531" w:right="-142"/>
    </w:pPr>
    <w:rPr>
      <w:rFonts w:ascii="Lato" w:eastAsia="Lato" w:hAnsi="Lato" w:cs="Times New Roman"/>
      <w:sz w:val="14"/>
      <w:szCs w:val="1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20396"/>
    <w:rPr>
      <w:rFonts w:ascii="Lato" w:eastAsia="Lato" w:hAnsi="Lato" w:cs="Times New Roman"/>
      <w:sz w:val="14"/>
      <w:szCs w:val="14"/>
      <w:lang w:eastAsia="en-US"/>
    </w:rPr>
  </w:style>
  <w:style w:type="paragraph" w:customStyle="1" w:styleId="Default">
    <w:name w:val="Default"/>
    <w:rsid w:val="00C20396"/>
    <w:pPr>
      <w:autoSpaceDE w:val="0"/>
      <w:autoSpaceDN w:val="0"/>
      <w:adjustRightInd w:val="0"/>
      <w:spacing w:after="0" w:line="240" w:lineRule="auto"/>
    </w:pPr>
    <w:rPr>
      <w:rFonts w:ascii="EUAlbertina" w:eastAsiaTheme="minorHAnsi" w:hAnsi="EUAlbertina" w:cs="EUAlbertina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3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3EC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3EC"/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510</Words>
  <Characters>3066</Characters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2026-06-18T00:41:00Z</dcterms:created>
  <dcterms:modified xsi:type="dcterms:W3CDTF">2026-06-19T11:55:00Z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UxC4dwLulzfINJ8nQH+xvX5LNGipWa4BRSZhPgxsCvkmmYvcndB6Vnhf9h0YwbJ2zHNNvEHsf/KvKUMkJmQrsA==</vt:lpwstr>
  </property>
  <property fmtid="{D5CDD505-2E9C-101B-9397-08002B2CF9AE}" pid="4" name="MFClassificationDate">
    <vt:lpwstr>2026-06-18T02:40:44.2554200+02:00</vt:lpwstr>
  </property>
  <property fmtid="{D5CDD505-2E9C-101B-9397-08002B2CF9AE}" pid="5" name="MFClassifiedBySID">
    <vt:lpwstr>UxC4dwLulzfINJ8nQH+xvX5LNGipWa4BRSZhPgxsCvm42mrIC/DSDv0ggS+FjUN/2v1BBotkLlY5aAiEhoi6ufPR/6L4ZIHAFZkXJqyhz1lHG1IZab4akVCCQiWP8Dx6</vt:lpwstr>
  </property>
  <property fmtid="{D5CDD505-2E9C-101B-9397-08002B2CF9AE}" pid="6" name="MFGRNItemId">
    <vt:lpwstr>GRN-387072a2-acfa-4128-820b-7327725e8f5a</vt:lpwstr>
  </property>
  <property fmtid="{D5CDD505-2E9C-101B-9397-08002B2CF9AE}" pid="7" name="MFHash">
    <vt:lpwstr>NbFZrdrIid5sZXXMu9s5Cz44bssvEyc1aYc8Q/IbFZE=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