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68F470" w14:textId="3750040B" w:rsidR="02DC1669" w:rsidRPr="00C9007E" w:rsidRDefault="02DC1669" w:rsidP="02DC1669">
      <w:pPr>
        <w:spacing w:line="252" w:lineRule="auto"/>
        <w:jc w:val="center"/>
        <w:rPr>
          <w:rFonts w:ascii="Calibri" w:eastAsia="Calibri" w:hAnsi="Calibri" w:cs="Calibri"/>
          <w:color w:val="FF0000"/>
          <w:sz w:val="28"/>
          <w:szCs w:val="28"/>
        </w:rPr>
      </w:pPr>
      <w:bookmarkStart w:id="0" w:name="_GoBack"/>
      <w:bookmarkEnd w:id="0"/>
      <w:r w:rsidRPr="00C9007E">
        <w:rPr>
          <w:rFonts w:ascii="Calibri" w:eastAsia="Calibri" w:hAnsi="Calibri" w:cs="Calibri"/>
          <w:b/>
          <w:bCs/>
          <w:color w:val="FF0000"/>
          <w:sz w:val="28"/>
          <w:szCs w:val="28"/>
        </w:rPr>
        <w:t>IGH/1C</w:t>
      </w:r>
    </w:p>
    <w:p w14:paraId="04F47F8D" w14:textId="2CC19FE6" w:rsidR="4239A641" w:rsidRDefault="4239A641" w:rsidP="648B8EA5">
      <w:pPr>
        <w:spacing w:line="252" w:lineRule="auto"/>
        <w:jc w:val="center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648B8EA5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INFORMACJA O DZIAŁALNOŚCI W ZAKRESIE GIER CYLINDRYCZNYCH, GIER W KARTY, GIER W KOŚCI LUB GIER NA AUTOMATACH URZĄDZANYCH PRZEZ SIEĆ INTERNET</w:t>
      </w:r>
    </w:p>
    <w:p w14:paraId="51ADC944" w14:textId="56035816" w:rsidR="648B8EA5" w:rsidRDefault="648B8EA5" w:rsidP="648B8EA5">
      <w:pPr>
        <w:spacing w:line="252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tbl>
      <w:tblPr>
        <w:tblStyle w:val="Tabela-Siatka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648B8EA5" w14:paraId="78CDD640" w14:textId="77777777" w:rsidTr="648B8EA5">
        <w:tc>
          <w:tcPr>
            <w:tcW w:w="9015" w:type="dxa"/>
          </w:tcPr>
          <w:p w14:paraId="2BEE7E7C" w14:textId="77777777" w:rsidR="000C3533" w:rsidRDefault="000C3533" w:rsidP="000C3533">
            <w:pPr>
              <w:spacing w:line="252" w:lineRule="auto"/>
              <w:jc w:val="both"/>
              <w:rPr>
                <w:rFonts w:ascii="Calibri" w:eastAsia="Calibri" w:hAnsi="Calibri" w:cs="Calibri"/>
                <w:b/>
                <w:color w:val="000000" w:themeColor="text1"/>
                <w:sz w:val="24"/>
                <w:szCs w:val="24"/>
              </w:rPr>
            </w:pPr>
            <w:r w:rsidRPr="00BC2EC5">
              <w:rPr>
                <w:rFonts w:ascii="Calibri" w:eastAsia="Calibri" w:hAnsi="Calibri" w:cs="Calibri"/>
                <w:b/>
                <w:color w:val="000000" w:themeColor="text1"/>
                <w:sz w:val="24"/>
                <w:szCs w:val="24"/>
              </w:rPr>
              <w:t>UWAGA</w:t>
            </w:r>
          </w:p>
          <w:p w14:paraId="7FD876A4" w14:textId="5149F9BF" w:rsidR="02DC1669" w:rsidRDefault="02DC1669" w:rsidP="000C3533">
            <w:pPr>
              <w:spacing w:after="16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648B8EA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Podmioty urządzające i prowadzące działalność w zakresie gier hazardowych, które nie prowadzą działalności w zakresie</w:t>
            </w:r>
            <w:r w:rsidR="4239A641" w:rsidRPr="648B8EA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gier cylindrycznych, gier w karty, gier w kości lub gier na automatach urządzanych przez sieć Internet </w:t>
            </w:r>
            <w:r w:rsidRPr="648B8EA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NIE SKŁADAJĄ załącznika IGH/1C.</w:t>
            </w:r>
          </w:p>
        </w:tc>
      </w:tr>
    </w:tbl>
    <w:p w14:paraId="62C4B20D" w14:textId="52C79458" w:rsidR="648B8EA5" w:rsidRDefault="648B8EA5" w:rsidP="648B8EA5">
      <w:pPr>
        <w:spacing w:line="252" w:lineRule="auto"/>
        <w:jc w:val="center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</w:p>
    <w:p w14:paraId="44635BE6" w14:textId="7D1A3F55" w:rsidR="02DC1669" w:rsidRDefault="02DC1669" w:rsidP="02DC1669">
      <w:pPr>
        <w:spacing w:line="252" w:lineRule="auto"/>
        <w:jc w:val="center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2DC1669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CZĘŚĆ B</w:t>
      </w:r>
    </w:p>
    <w:p w14:paraId="3D6B9DD7" w14:textId="55C97F04" w:rsidR="02DC1669" w:rsidRDefault="02DC1669" w:rsidP="02DC1669">
      <w:pPr>
        <w:spacing w:line="252" w:lineRule="auto"/>
        <w:jc w:val="center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2DC1669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DANE O LICZBIE GRACZY</w:t>
      </w:r>
    </w:p>
    <w:p w14:paraId="2F731DA6" w14:textId="711EC4A8" w:rsidR="02DC1669" w:rsidRDefault="02DC1669" w:rsidP="02DC1669">
      <w:pPr>
        <w:spacing w:line="252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2DC1669">
        <w:rPr>
          <w:rFonts w:ascii="Calibri" w:eastAsia="Calibri" w:hAnsi="Calibri" w:cs="Calibri"/>
          <w:color w:val="000000" w:themeColor="text1"/>
          <w:sz w:val="24"/>
          <w:szCs w:val="24"/>
        </w:rPr>
        <w:t>W tej części podmiot zobowiązany jest do wskazania liczby graczy w podziale na poszczególne przedziały wiekowe wg stanu na ostatni dzień okresu sprawozdawczego.</w:t>
      </w:r>
    </w:p>
    <w:p w14:paraId="7AA70F79" w14:textId="61371F0B" w:rsidR="02DC1669" w:rsidRDefault="02DC1669" w:rsidP="02DC1669">
      <w:pPr>
        <w:spacing w:line="252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034E2D94" w14:textId="1B30D51E" w:rsidR="02DC1669" w:rsidRDefault="02DC1669" w:rsidP="02DC1669">
      <w:pPr>
        <w:spacing w:line="252" w:lineRule="auto"/>
        <w:jc w:val="center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2DC1669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CZĘŚĆ C</w:t>
      </w:r>
    </w:p>
    <w:p w14:paraId="4520F04E" w14:textId="528671BD" w:rsidR="02DC1669" w:rsidRDefault="02DC1669" w:rsidP="02DC1669">
      <w:pPr>
        <w:spacing w:line="252" w:lineRule="auto"/>
        <w:jc w:val="center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2DC1669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DANE O AKTYWNOŚCI GRACZY</w:t>
      </w:r>
    </w:p>
    <w:tbl>
      <w:tblPr>
        <w:tblStyle w:val="Tabela-Siatka"/>
        <w:tblpPr w:leftFromText="141" w:rightFromText="141" w:vertAnchor="text" w:tblpY="76"/>
        <w:tblW w:w="9031" w:type="dxa"/>
        <w:tblLook w:val="04A0" w:firstRow="1" w:lastRow="0" w:firstColumn="1" w:lastColumn="0" w:noHBand="0" w:noVBand="1"/>
      </w:tblPr>
      <w:tblGrid>
        <w:gridCol w:w="9031"/>
      </w:tblGrid>
      <w:tr w:rsidR="00F26BB1" w14:paraId="1EC47AE6" w14:textId="77777777" w:rsidTr="007431DE">
        <w:trPr>
          <w:trHeight w:val="746"/>
        </w:trPr>
        <w:tc>
          <w:tcPr>
            <w:tcW w:w="9031" w:type="dxa"/>
          </w:tcPr>
          <w:p w14:paraId="42B80F3B" w14:textId="77777777" w:rsidR="00F26BB1" w:rsidRDefault="00F26BB1" w:rsidP="0085401B">
            <w:pPr>
              <w:spacing w:line="252" w:lineRule="auto"/>
              <w:jc w:val="both"/>
              <w:rPr>
                <w:rFonts w:ascii="Calibri" w:eastAsia="Calibri" w:hAnsi="Calibri" w:cs="Calibri"/>
                <w:b/>
                <w:color w:val="000000" w:themeColor="text1"/>
                <w:sz w:val="24"/>
                <w:szCs w:val="24"/>
              </w:rPr>
            </w:pPr>
            <w:r w:rsidRPr="00BC2EC5">
              <w:rPr>
                <w:rFonts w:ascii="Calibri" w:eastAsia="Calibri" w:hAnsi="Calibri" w:cs="Calibri"/>
                <w:b/>
                <w:color w:val="000000" w:themeColor="text1"/>
                <w:sz w:val="24"/>
                <w:szCs w:val="24"/>
              </w:rPr>
              <w:t>UWAGA</w:t>
            </w:r>
          </w:p>
          <w:p w14:paraId="2A2D167D" w14:textId="20799A9E" w:rsidR="00F26BB1" w:rsidRPr="00BC2EC5" w:rsidRDefault="00F26BB1" w:rsidP="00F26BB1">
            <w:pPr>
              <w:spacing w:line="252" w:lineRule="auto"/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W tej części podmiot zobowiązany jest do wskazania danych </w:t>
            </w:r>
            <w:r w:rsidR="007431D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okresie sprawozdawczym.</w:t>
            </w:r>
          </w:p>
        </w:tc>
      </w:tr>
    </w:tbl>
    <w:p w14:paraId="72AB99F3" w14:textId="77777777" w:rsidR="00F26BB1" w:rsidRDefault="00F26BB1" w:rsidP="648B8EA5">
      <w:pPr>
        <w:spacing w:line="252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2E86D224" w14:textId="77997C67" w:rsidR="02DC1669" w:rsidRDefault="02DC1669" w:rsidP="648B8EA5">
      <w:pPr>
        <w:spacing w:line="252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48B8EA5">
        <w:rPr>
          <w:rFonts w:ascii="Calibri" w:eastAsia="Calibri" w:hAnsi="Calibri" w:cs="Calibri"/>
          <w:color w:val="000000" w:themeColor="text1"/>
          <w:sz w:val="24"/>
          <w:szCs w:val="24"/>
        </w:rPr>
        <w:t>Pole 14.</w:t>
      </w:r>
      <w:r w:rsidRPr="648B8EA5">
        <w:rPr>
          <w:rFonts w:ascii="Calibri" w:eastAsia="Calibri" w:hAnsi="Calibri" w:cs="Calibri"/>
          <w:color w:val="000000" w:themeColor="text1"/>
        </w:rPr>
        <w:t xml:space="preserve"> </w:t>
      </w:r>
      <w:r w:rsidRPr="648B8EA5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 xml:space="preserve">Średni czas sesji gry </w:t>
      </w:r>
      <w:r w:rsidRPr="648B8EA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– </w:t>
      </w:r>
      <w:r w:rsidR="007431DE">
        <w:rPr>
          <w:rFonts w:ascii="Calibri" w:eastAsia="Calibri" w:hAnsi="Calibri" w:cs="Calibri"/>
          <w:color w:val="000000" w:themeColor="text1"/>
          <w:sz w:val="24"/>
          <w:szCs w:val="24"/>
        </w:rPr>
        <w:t>j</w:t>
      </w:r>
      <w:r w:rsidR="007431DE" w:rsidRPr="648B8EA5">
        <w:rPr>
          <w:rFonts w:ascii="Calibri" w:eastAsia="Calibri" w:hAnsi="Calibri" w:cs="Calibri"/>
          <w:color w:val="000000" w:themeColor="text1"/>
          <w:sz w:val="24"/>
          <w:szCs w:val="24"/>
        </w:rPr>
        <w:t>est to średni czas od momentu za</w:t>
      </w:r>
      <w:r w:rsidR="007431DE">
        <w:rPr>
          <w:rFonts w:ascii="Calibri" w:eastAsia="Calibri" w:hAnsi="Calibri" w:cs="Calibri"/>
          <w:color w:val="000000" w:themeColor="text1"/>
          <w:sz w:val="24"/>
          <w:szCs w:val="24"/>
        </w:rPr>
        <w:t>logowania do wylogowania gracza. N</w:t>
      </w:r>
      <w:r w:rsidRPr="648B8EA5">
        <w:rPr>
          <w:rFonts w:ascii="Calibri" w:eastAsia="Calibri" w:hAnsi="Calibri" w:cs="Calibri"/>
          <w:color w:val="000000" w:themeColor="text1"/>
          <w:sz w:val="24"/>
          <w:szCs w:val="24"/>
        </w:rPr>
        <w:t>ależy wykazać średnią arytmetyczną cza</w:t>
      </w:r>
      <w:r w:rsidR="007431D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su sesji gry, w formacie GG:MM. </w:t>
      </w:r>
    </w:p>
    <w:p w14:paraId="37B0FD69" w14:textId="6CD3509A" w:rsidR="02DC1669" w:rsidRDefault="02DC1669" w:rsidP="648B8EA5">
      <w:pPr>
        <w:spacing w:line="252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48B8EA5">
        <w:rPr>
          <w:rFonts w:ascii="Calibri" w:eastAsia="Calibri" w:hAnsi="Calibri" w:cs="Calibri"/>
          <w:color w:val="000000" w:themeColor="text1"/>
          <w:sz w:val="24"/>
          <w:szCs w:val="24"/>
        </w:rPr>
        <w:t>Pole 15.</w:t>
      </w:r>
      <w:r w:rsidRPr="648B8EA5">
        <w:rPr>
          <w:rFonts w:ascii="Calibri" w:eastAsia="Calibri" w:hAnsi="Calibri" w:cs="Calibri"/>
          <w:color w:val="000000" w:themeColor="text1"/>
        </w:rPr>
        <w:t xml:space="preserve"> </w:t>
      </w:r>
      <w:r w:rsidRPr="648B8EA5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 xml:space="preserve">Liczba sesji gry dłuższych niż 1 godzina </w:t>
      </w:r>
      <w:r w:rsidRPr="648B8EA5">
        <w:rPr>
          <w:rFonts w:ascii="Calibri" w:eastAsia="Calibri" w:hAnsi="Calibri" w:cs="Calibri"/>
          <w:color w:val="000000" w:themeColor="text1"/>
          <w:sz w:val="24"/>
          <w:szCs w:val="24"/>
        </w:rPr>
        <w:t>– należy wykazać liczbę sesji gry, w których od momentu zalogowania do wylogowania gracza minęła 1 godzina.</w:t>
      </w:r>
    </w:p>
    <w:p w14:paraId="00D6CD7B" w14:textId="3DE5A229" w:rsidR="02DC1669" w:rsidRDefault="02DC1669" w:rsidP="0F6EDD8A">
      <w:pPr>
        <w:spacing w:line="252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F6EDD8A">
        <w:rPr>
          <w:rFonts w:ascii="Calibri" w:eastAsia="Calibri" w:hAnsi="Calibri" w:cs="Calibri"/>
          <w:color w:val="000000" w:themeColor="text1"/>
          <w:sz w:val="24"/>
          <w:szCs w:val="24"/>
        </w:rPr>
        <w:t>Pole 16.</w:t>
      </w:r>
      <w:r w:rsidRPr="0F6EDD8A">
        <w:rPr>
          <w:rFonts w:ascii="Calibri" w:eastAsia="Calibri" w:hAnsi="Calibri" w:cs="Calibri"/>
          <w:color w:val="000000" w:themeColor="text1"/>
        </w:rPr>
        <w:t xml:space="preserve"> </w:t>
      </w:r>
      <w:r w:rsidRPr="0F6EDD8A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 xml:space="preserve">Liczba osób samozawieszonych </w:t>
      </w:r>
      <w:r w:rsidRPr="0F6EDD8A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– </w:t>
      </w:r>
      <w:r w:rsidR="000A5E14" w:rsidRPr="00E57877">
        <w:rPr>
          <w:rFonts w:ascii="Calibri" w:eastAsia="Calibri" w:hAnsi="Calibri" w:cs="Calibri"/>
          <w:color w:val="000000" w:themeColor="text1"/>
          <w:sz w:val="24"/>
          <w:szCs w:val="24"/>
        </w:rPr>
        <w:t>liczba graczy, którzy zawiesili swoją</w:t>
      </w:r>
      <w:r w:rsidR="000A5E14" w:rsidRPr="5A40E51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aktywność (ustanowi</w:t>
      </w:r>
      <w:r w:rsidR="000A5E14">
        <w:rPr>
          <w:rFonts w:ascii="Calibri" w:eastAsia="Calibri" w:hAnsi="Calibri" w:cs="Calibri"/>
          <w:color w:val="000000" w:themeColor="text1"/>
          <w:sz w:val="24"/>
          <w:szCs w:val="24"/>
        </w:rPr>
        <w:t>li</w:t>
      </w:r>
      <w:r w:rsidR="000A5E14" w:rsidRPr="5A40E51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przerwę) w</w:t>
      </w:r>
      <w:r w:rsidR="000A5E1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grze na co najmniej 24 godziny, jednak nie dłużej niż na 89 dni.</w:t>
      </w:r>
    </w:p>
    <w:p w14:paraId="42FA8766" w14:textId="42B21595" w:rsidR="00A11A5E" w:rsidRDefault="02DC1669" w:rsidP="02DC1669">
      <w:pPr>
        <w:spacing w:line="252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739B6532">
        <w:rPr>
          <w:rFonts w:ascii="Calibri" w:eastAsia="Calibri" w:hAnsi="Calibri" w:cs="Calibri"/>
          <w:color w:val="000000" w:themeColor="text1"/>
          <w:sz w:val="24"/>
          <w:szCs w:val="24"/>
        </w:rPr>
        <w:t>Pole 17.</w:t>
      </w:r>
      <w:r w:rsidRPr="739B6532">
        <w:rPr>
          <w:rFonts w:ascii="Calibri" w:eastAsia="Calibri" w:hAnsi="Calibri" w:cs="Calibri"/>
          <w:color w:val="000000" w:themeColor="text1"/>
        </w:rPr>
        <w:t xml:space="preserve"> </w:t>
      </w:r>
      <w:r w:rsidRPr="739B6532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 xml:space="preserve">Liczba osób samowykluczonych </w:t>
      </w:r>
      <w:r w:rsidRPr="739B6532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– </w:t>
      </w:r>
      <w:r w:rsidR="000A5E14" w:rsidRPr="00E57877">
        <w:rPr>
          <w:rFonts w:ascii="Calibri" w:eastAsia="Calibri" w:hAnsi="Calibri" w:cs="Calibri"/>
          <w:color w:val="000000" w:themeColor="text1"/>
          <w:sz w:val="24"/>
          <w:szCs w:val="24"/>
        </w:rPr>
        <w:t>liczba graczy, którzy wykluczyli się (zablokowali</w:t>
      </w:r>
      <w:r w:rsidR="000A5E14" w:rsidRPr="5A40E51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możliwość</w:t>
      </w:r>
      <w:r w:rsidR="000A5E1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korzystania</w:t>
      </w:r>
      <w:r w:rsidR="000A5E14" w:rsidRPr="5A40E51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) </w:t>
      </w:r>
      <w:r w:rsidR="000A5E1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z </w:t>
      </w:r>
      <w:r w:rsidR="000A5E14" w:rsidRPr="5A40E519">
        <w:rPr>
          <w:rFonts w:ascii="Calibri" w:eastAsia="Calibri" w:hAnsi="Calibri" w:cs="Calibri"/>
          <w:color w:val="000000" w:themeColor="text1"/>
          <w:sz w:val="24"/>
          <w:szCs w:val="24"/>
        </w:rPr>
        <w:t>gry na okres min. 90 dni.</w:t>
      </w:r>
    </w:p>
    <w:p w14:paraId="0EEC6C99" w14:textId="77777777" w:rsidR="00590F8B" w:rsidRDefault="00590F8B" w:rsidP="02DC1669">
      <w:pPr>
        <w:spacing w:line="252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3A80309C" w14:textId="3319AA78" w:rsidR="02DC1669" w:rsidRDefault="02DC1669" w:rsidP="02DC1669">
      <w:pPr>
        <w:spacing w:line="252" w:lineRule="auto"/>
        <w:jc w:val="center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2DC1669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CZĘŚĆ D</w:t>
      </w:r>
    </w:p>
    <w:p w14:paraId="136EFF25" w14:textId="74B69AE7" w:rsidR="02DC1669" w:rsidRDefault="02DC1669" w:rsidP="02DC1669">
      <w:pPr>
        <w:spacing w:line="252" w:lineRule="auto"/>
        <w:jc w:val="center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2DC1669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DANE O AKTYWNOŚCI W GRACH</w:t>
      </w:r>
    </w:p>
    <w:tbl>
      <w:tblPr>
        <w:tblStyle w:val="Tabela-Siatka"/>
        <w:tblpPr w:leftFromText="141" w:rightFromText="141" w:vertAnchor="text" w:tblpY="76"/>
        <w:tblW w:w="9106" w:type="dxa"/>
        <w:tblLook w:val="04A0" w:firstRow="1" w:lastRow="0" w:firstColumn="1" w:lastColumn="0" w:noHBand="0" w:noVBand="1"/>
      </w:tblPr>
      <w:tblGrid>
        <w:gridCol w:w="9106"/>
      </w:tblGrid>
      <w:tr w:rsidR="007431DE" w14:paraId="72955F7E" w14:textId="77777777" w:rsidTr="007431DE">
        <w:trPr>
          <w:trHeight w:val="775"/>
        </w:trPr>
        <w:tc>
          <w:tcPr>
            <w:tcW w:w="9106" w:type="dxa"/>
          </w:tcPr>
          <w:p w14:paraId="24AD6609" w14:textId="77777777" w:rsidR="007431DE" w:rsidRDefault="007431DE" w:rsidP="0085401B">
            <w:pPr>
              <w:spacing w:line="252" w:lineRule="auto"/>
              <w:jc w:val="both"/>
              <w:rPr>
                <w:rFonts w:ascii="Calibri" w:eastAsia="Calibri" w:hAnsi="Calibri" w:cs="Calibri"/>
                <w:b/>
                <w:color w:val="000000" w:themeColor="text1"/>
                <w:sz w:val="24"/>
                <w:szCs w:val="24"/>
              </w:rPr>
            </w:pPr>
            <w:r w:rsidRPr="00BC2EC5">
              <w:rPr>
                <w:rFonts w:ascii="Calibri" w:eastAsia="Calibri" w:hAnsi="Calibri" w:cs="Calibri"/>
                <w:b/>
                <w:color w:val="000000" w:themeColor="text1"/>
                <w:sz w:val="24"/>
                <w:szCs w:val="24"/>
              </w:rPr>
              <w:lastRenderedPageBreak/>
              <w:t>UWAGA</w:t>
            </w:r>
          </w:p>
          <w:p w14:paraId="2B302F5A" w14:textId="77777777" w:rsidR="007431DE" w:rsidRPr="00BC2EC5" w:rsidRDefault="007431DE" w:rsidP="0085401B">
            <w:pPr>
              <w:spacing w:line="252" w:lineRule="auto"/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W tej części podmiot zobowiązany jest do wskazania danych w okresie sprawozdawczym.</w:t>
            </w:r>
          </w:p>
        </w:tc>
      </w:tr>
    </w:tbl>
    <w:p w14:paraId="28A6DE5D" w14:textId="77777777" w:rsidR="007431DE" w:rsidRDefault="007431DE" w:rsidP="16C2C98A">
      <w:pPr>
        <w:spacing w:line="252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7B7B50A8" w14:textId="4E7D578C" w:rsidR="02DC1669" w:rsidRDefault="02DC1669" w:rsidP="16C2C98A">
      <w:pPr>
        <w:spacing w:line="252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6C2C98A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Pole 18. </w:t>
      </w:r>
      <w:r w:rsidRPr="16C2C98A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Depozyty ogółem</w:t>
      </w:r>
      <w:r w:rsidRPr="16C2C98A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– </w:t>
      </w:r>
      <w:r w:rsidR="000A5E14" w:rsidRPr="5A40E519">
        <w:rPr>
          <w:rFonts w:ascii="Calibri" w:eastAsia="Calibri" w:hAnsi="Calibri" w:cs="Calibri"/>
          <w:color w:val="000000" w:themeColor="text1"/>
          <w:sz w:val="24"/>
          <w:szCs w:val="24"/>
        </w:rPr>
        <w:t>środki pieniężne wpłacone przez gracza na rachunek płatniczy podmiotu urządzającego gry hazardowe, przyporządkowane do konta gracza.</w:t>
      </w:r>
    </w:p>
    <w:p w14:paraId="5928BEDA" w14:textId="03DB1811" w:rsidR="02DC1669" w:rsidRDefault="02DC1669" w:rsidP="16C2C98A">
      <w:pPr>
        <w:spacing w:line="252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6C2C98A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Pole 19. </w:t>
      </w:r>
      <w:r w:rsidRPr="16C2C98A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 xml:space="preserve">Stawki ogółem </w:t>
      </w:r>
      <w:r w:rsidRPr="16C2C98A">
        <w:rPr>
          <w:rFonts w:ascii="Calibri" w:eastAsia="Calibri" w:hAnsi="Calibri" w:cs="Calibri"/>
          <w:color w:val="000000" w:themeColor="text1"/>
          <w:sz w:val="24"/>
          <w:szCs w:val="24"/>
        </w:rPr>
        <w:t>–</w:t>
      </w:r>
      <w:r w:rsidR="16C2C98A" w:rsidRPr="16C2C98A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suma stawek, które zostały wpłacone przez gracza.</w:t>
      </w:r>
    </w:p>
    <w:p w14:paraId="047D4583" w14:textId="6985E27C" w:rsidR="02DC1669" w:rsidRDefault="02DC1669" w:rsidP="473A318C">
      <w:pPr>
        <w:spacing w:line="252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473A318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Pole 20. </w:t>
      </w:r>
      <w:r w:rsidRPr="473A318C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Stawki wpłacone przy użyciu urządzenia z mobilnym systemem</w:t>
      </w:r>
      <w:r w:rsidRPr="473A318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473A318C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operacyjnym</w:t>
      </w:r>
      <w:r w:rsidRPr="473A318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– </w:t>
      </w:r>
      <w:r w:rsidR="473A318C" w:rsidRPr="473A318C">
        <w:rPr>
          <w:rFonts w:ascii="Calibri" w:eastAsia="Calibri" w:hAnsi="Calibri" w:cs="Calibri"/>
          <w:color w:val="000000" w:themeColor="text1"/>
          <w:sz w:val="24"/>
          <w:szCs w:val="24"/>
        </w:rPr>
        <w:t>suma stawek, które zostały wpłacone przez gracza przy użyciu telefonu lub tabletu.</w:t>
      </w:r>
    </w:p>
    <w:p w14:paraId="48E7E81D" w14:textId="23ECE380" w:rsidR="02DC1669" w:rsidRDefault="02DC1669" w:rsidP="6885AE4E">
      <w:pPr>
        <w:spacing w:line="252" w:lineRule="auto"/>
        <w:jc w:val="both"/>
        <w:rPr>
          <w:rFonts w:ascii="Calibri" w:eastAsia="Calibri" w:hAnsi="Calibri" w:cs="Calibri"/>
          <w:color w:val="000000" w:themeColor="text1"/>
        </w:rPr>
      </w:pPr>
      <w:r w:rsidRPr="6885AE4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Pole 21. </w:t>
      </w:r>
      <w:r w:rsidRPr="6885AE4E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Stawki wpłacone ze środków bonusowych</w:t>
      </w:r>
      <w:r w:rsidRPr="6885AE4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– </w:t>
      </w:r>
      <w:r w:rsidR="000A5E14" w:rsidRPr="00E57877">
        <w:rPr>
          <w:rFonts w:eastAsia="Calibri" w:cstheme="minorHAnsi"/>
          <w:sz w:val="24"/>
          <w:szCs w:val="24"/>
        </w:rPr>
        <w:t>suma stawek, które zostały wpłacone z</w:t>
      </w:r>
      <w:r w:rsidR="00197D2A">
        <w:rPr>
          <w:rFonts w:eastAsia="Calibri" w:cstheme="minorHAnsi"/>
          <w:sz w:val="24"/>
          <w:szCs w:val="24"/>
        </w:rPr>
        <w:t> </w:t>
      </w:r>
      <w:r w:rsidR="000A5E14" w:rsidRPr="00E57877">
        <w:rPr>
          <w:rFonts w:eastAsia="Calibri" w:cstheme="minorHAnsi"/>
          <w:sz w:val="24"/>
          <w:szCs w:val="24"/>
        </w:rPr>
        <w:t>bonusów i z wygranych ze stawek wpłaconych z bonusów, innych niż zgromadzone na koncie gracza.</w:t>
      </w:r>
    </w:p>
    <w:p w14:paraId="0FA17C20" w14:textId="0286A778" w:rsidR="02DC1669" w:rsidRPr="000A5E14" w:rsidRDefault="02DC1669" w:rsidP="4086F00C">
      <w:pPr>
        <w:spacing w:line="252" w:lineRule="auto"/>
        <w:jc w:val="both"/>
        <w:rPr>
          <w:rFonts w:eastAsia="Calibri" w:cstheme="minorHAnsi"/>
          <w:color w:val="000000" w:themeColor="text1"/>
          <w:sz w:val="24"/>
          <w:szCs w:val="24"/>
        </w:rPr>
      </w:pPr>
      <w:r w:rsidRPr="4086F00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Pole 22. </w:t>
      </w:r>
      <w:r w:rsidRPr="4086F00C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Wygrane ogółem</w:t>
      </w:r>
      <w:r w:rsidRPr="4086F00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– </w:t>
      </w:r>
      <w:r w:rsidR="000A5E14" w:rsidRPr="00E57877">
        <w:rPr>
          <w:rFonts w:eastAsia="Calibri" w:cstheme="minorHAnsi"/>
          <w:color w:val="000000" w:themeColor="text1"/>
          <w:sz w:val="24"/>
          <w:szCs w:val="24"/>
        </w:rPr>
        <w:t xml:space="preserve">środki pieniężne otrzymane przez graczy na skutek poprawnego </w:t>
      </w:r>
      <w:r w:rsidR="006E1E09">
        <w:rPr>
          <w:rFonts w:eastAsia="Calibri" w:cstheme="minorHAnsi"/>
          <w:color w:val="000000" w:themeColor="text1"/>
          <w:sz w:val="24"/>
          <w:szCs w:val="24"/>
        </w:rPr>
        <w:t>wytypowania</w:t>
      </w:r>
      <w:r w:rsidR="006E1E09" w:rsidRPr="006E1E09">
        <w:rPr>
          <w:rFonts w:eastAsia="Calibri" w:cstheme="minorHAnsi"/>
          <w:color w:val="000000" w:themeColor="text1"/>
          <w:sz w:val="24"/>
          <w:szCs w:val="24"/>
        </w:rPr>
        <w:t xml:space="preserve"> liczb, znaków</w:t>
      </w:r>
      <w:r w:rsidR="006E1E09">
        <w:rPr>
          <w:rFonts w:eastAsia="Calibri" w:cstheme="minorHAnsi"/>
          <w:color w:val="000000" w:themeColor="text1"/>
          <w:sz w:val="24"/>
          <w:szCs w:val="24"/>
        </w:rPr>
        <w:t>, zdarzeń</w:t>
      </w:r>
      <w:r w:rsidR="006E1E09" w:rsidRPr="006E1E09">
        <w:rPr>
          <w:rFonts w:eastAsia="Calibri" w:cstheme="minorHAnsi"/>
          <w:color w:val="000000" w:themeColor="text1"/>
          <w:sz w:val="24"/>
          <w:szCs w:val="24"/>
        </w:rPr>
        <w:t xml:space="preserve"> lub innych wyróżników</w:t>
      </w:r>
      <w:r w:rsidR="006E1E09">
        <w:rPr>
          <w:rFonts w:eastAsia="Calibri" w:cstheme="minorHAnsi"/>
          <w:color w:val="000000" w:themeColor="text1"/>
          <w:sz w:val="24"/>
          <w:szCs w:val="24"/>
        </w:rPr>
        <w:t>.</w:t>
      </w:r>
    </w:p>
    <w:p w14:paraId="0131ACE6" w14:textId="2CB25917" w:rsidR="004C3B08" w:rsidRDefault="02DC1669" w:rsidP="004C3B08">
      <w:pPr>
        <w:spacing w:line="252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48B8EA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Pole 23. </w:t>
      </w:r>
      <w:r w:rsidRPr="648B8EA5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Środki pieniężne wypłacone z konta gracza na rachunek płatniczy gracza</w:t>
      </w:r>
      <w:r w:rsidRPr="648B8EA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– </w:t>
      </w:r>
      <w:r w:rsidR="006E1E09" w:rsidRPr="00933DF2">
        <w:rPr>
          <w:rFonts w:eastAsia="Calibri" w:cstheme="minorHAnsi"/>
          <w:color w:val="000000" w:themeColor="text1"/>
          <w:sz w:val="24"/>
          <w:szCs w:val="24"/>
        </w:rPr>
        <w:t xml:space="preserve">suma środków pieniężnych, </w:t>
      </w:r>
      <w:r w:rsidR="006E1E09">
        <w:rPr>
          <w:rFonts w:eastAsia="Calibri" w:cstheme="minorHAnsi"/>
          <w:color w:val="000000" w:themeColor="text1"/>
          <w:sz w:val="24"/>
          <w:szCs w:val="24"/>
        </w:rPr>
        <w:t>które gracz wypłacił z konta gracza</w:t>
      </w:r>
      <w:r w:rsidR="006E1E09" w:rsidRPr="00933DF2">
        <w:rPr>
          <w:rFonts w:eastAsia="Calibri" w:cstheme="minorHAnsi"/>
          <w:color w:val="000000" w:themeColor="text1"/>
          <w:sz w:val="24"/>
          <w:szCs w:val="24"/>
        </w:rPr>
        <w:t xml:space="preserve"> na</w:t>
      </w:r>
      <w:r w:rsidR="006E1E09">
        <w:rPr>
          <w:rFonts w:eastAsia="Calibri" w:cstheme="minorHAnsi"/>
          <w:color w:val="000000" w:themeColor="text1"/>
          <w:sz w:val="24"/>
          <w:szCs w:val="24"/>
        </w:rPr>
        <w:t xml:space="preserve"> swój rachunek płatniczy</w:t>
      </w:r>
      <w:r w:rsidR="006E1E09" w:rsidRPr="00933DF2">
        <w:rPr>
          <w:rFonts w:eastAsia="Calibri" w:cstheme="minorHAnsi"/>
          <w:color w:val="000000" w:themeColor="text1"/>
          <w:sz w:val="24"/>
          <w:szCs w:val="24"/>
        </w:rPr>
        <w:t>.</w:t>
      </w:r>
    </w:p>
    <w:p w14:paraId="69C2AE72" w14:textId="7866E3B0" w:rsidR="004C3B08" w:rsidRDefault="004C3B08" w:rsidP="004C3B08">
      <w:pPr>
        <w:spacing w:line="252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FA1DBA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Pole 24. </w:t>
      </w:r>
      <w:r w:rsidRPr="00FA1DBA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Bonusy ogółem</w:t>
      </w:r>
      <w:r w:rsidRPr="00FA1DBA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– </w:t>
      </w:r>
      <w:r w:rsidR="00A11A5E" w:rsidRPr="00FA1DBA">
        <w:rPr>
          <w:rFonts w:eastAsia="Calibri" w:cstheme="minorHAnsi"/>
          <w:color w:val="000000" w:themeColor="text1"/>
          <w:sz w:val="24"/>
          <w:szCs w:val="24"/>
        </w:rPr>
        <w:t>suma środków pieniężnych przeznaczonych dla gracza przez podmiot, które przysługują graczowi po spełnieniu warunków określonych przez ten podmiot lub inne rodzaje zachęt pozwalające na udział w grze, w tym środki odzyskane z wcześniej wpłaconych stawek, w przypadku gdy zasiliły one konto gracza lub gdy gracz zaczął z nich korzystać.</w:t>
      </w:r>
    </w:p>
    <w:p w14:paraId="2C838BE1" w14:textId="7BF8C1F9" w:rsidR="00A11A5E" w:rsidRDefault="004C3B08" w:rsidP="648B8EA5">
      <w:pPr>
        <w:spacing w:line="252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48B8EA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Pole 25. </w:t>
      </w:r>
      <w:r w:rsidRPr="648B8EA5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Bonusy faktycznie przekazane na konto gracza</w:t>
      </w: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648B8EA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– </w:t>
      </w:r>
      <w:r w:rsidR="00A11A5E" w:rsidRPr="00933DF2">
        <w:rPr>
          <w:rFonts w:eastAsia="Calibri" w:cstheme="minorHAnsi"/>
          <w:color w:val="000000" w:themeColor="text1"/>
          <w:sz w:val="24"/>
          <w:szCs w:val="24"/>
        </w:rPr>
        <w:t xml:space="preserve">należy przez to rozumieć </w:t>
      </w:r>
      <w:r w:rsidR="00A11A5E">
        <w:rPr>
          <w:rFonts w:eastAsia="Calibri" w:cstheme="minorHAnsi"/>
          <w:color w:val="000000" w:themeColor="text1"/>
          <w:sz w:val="24"/>
          <w:szCs w:val="24"/>
        </w:rPr>
        <w:t>środki pieniężne</w:t>
      </w:r>
      <w:r w:rsidR="00A11A5E" w:rsidRPr="00933DF2">
        <w:rPr>
          <w:rFonts w:eastAsia="Calibri" w:cstheme="minorHAnsi"/>
          <w:color w:val="000000" w:themeColor="text1"/>
          <w:sz w:val="24"/>
          <w:szCs w:val="24"/>
        </w:rPr>
        <w:t xml:space="preserve"> przekazan</w:t>
      </w:r>
      <w:r w:rsidR="00A11A5E">
        <w:rPr>
          <w:rFonts w:eastAsia="Calibri" w:cstheme="minorHAnsi"/>
          <w:color w:val="000000" w:themeColor="text1"/>
          <w:sz w:val="24"/>
          <w:szCs w:val="24"/>
        </w:rPr>
        <w:t>e</w:t>
      </w:r>
      <w:r w:rsidR="00A11A5E" w:rsidRPr="00933DF2">
        <w:rPr>
          <w:rFonts w:eastAsia="Calibri" w:cstheme="minorHAnsi"/>
          <w:color w:val="000000" w:themeColor="text1"/>
          <w:sz w:val="24"/>
          <w:szCs w:val="24"/>
        </w:rPr>
        <w:t xml:space="preserve"> przez podmiot, któr</w:t>
      </w:r>
      <w:r w:rsidR="00A11A5E">
        <w:rPr>
          <w:rFonts w:eastAsia="Calibri" w:cstheme="minorHAnsi"/>
          <w:color w:val="000000" w:themeColor="text1"/>
          <w:sz w:val="24"/>
          <w:szCs w:val="24"/>
        </w:rPr>
        <w:t>e</w:t>
      </w:r>
      <w:r w:rsidR="00A11A5E" w:rsidRPr="00933DF2">
        <w:rPr>
          <w:rFonts w:eastAsia="Calibri" w:cstheme="minorHAnsi"/>
          <w:color w:val="000000" w:themeColor="text1"/>
          <w:sz w:val="24"/>
          <w:szCs w:val="24"/>
        </w:rPr>
        <w:t xml:space="preserve"> zasilił</w:t>
      </w:r>
      <w:r w:rsidR="00A11A5E">
        <w:rPr>
          <w:rFonts w:eastAsia="Calibri" w:cstheme="minorHAnsi"/>
          <w:color w:val="000000" w:themeColor="text1"/>
          <w:sz w:val="24"/>
          <w:szCs w:val="24"/>
        </w:rPr>
        <w:t>y</w:t>
      </w:r>
      <w:r w:rsidR="00A11A5E" w:rsidRPr="00933DF2">
        <w:rPr>
          <w:rFonts w:eastAsia="Calibri" w:cstheme="minorHAnsi"/>
          <w:color w:val="000000" w:themeColor="text1"/>
          <w:sz w:val="24"/>
          <w:szCs w:val="24"/>
        </w:rPr>
        <w:t xml:space="preserve"> konto gracza po spełnieniu warunków określonych przez ten podmiot</w:t>
      </w:r>
      <w:r w:rsidR="00A11A5E">
        <w:rPr>
          <w:rFonts w:eastAsia="Calibri" w:cstheme="minorHAnsi"/>
          <w:color w:val="000000" w:themeColor="text1"/>
          <w:sz w:val="24"/>
          <w:szCs w:val="24"/>
        </w:rPr>
        <w:t>.</w:t>
      </w:r>
    </w:p>
    <w:tbl>
      <w:tblPr>
        <w:tblStyle w:val="Tabela-Siatka"/>
        <w:tblW w:w="0" w:type="auto"/>
        <w:jc w:val="center"/>
        <w:tblLayout w:type="fixed"/>
        <w:tblLook w:val="06A0" w:firstRow="1" w:lastRow="0" w:firstColumn="1" w:lastColumn="0" w:noHBand="1" w:noVBand="1"/>
      </w:tblPr>
      <w:tblGrid>
        <w:gridCol w:w="9015"/>
      </w:tblGrid>
      <w:tr w:rsidR="0B9D7800" w14:paraId="6EB71FF0" w14:textId="77777777" w:rsidTr="0B9D7800">
        <w:trPr>
          <w:jc w:val="center"/>
        </w:trPr>
        <w:tc>
          <w:tcPr>
            <w:tcW w:w="9015" w:type="dxa"/>
          </w:tcPr>
          <w:p w14:paraId="74A58DC0" w14:textId="2D0DD49B" w:rsidR="0B9D7800" w:rsidRDefault="0B9D7800" w:rsidP="00A11A5E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B9D7800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UWAGA</w:t>
            </w:r>
          </w:p>
          <w:p w14:paraId="40220100" w14:textId="7A1B14C5" w:rsidR="648B8EA5" w:rsidRDefault="648B8EA5" w:rsidP="0B9D7800">
            <w:pPr>
              <w:spacing w:after="160" w:line="252" w:lineRule="auto"/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B9D780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Liczba w</w:t>
            </w:r>
            <w:r w:rsidR="00017AB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y</w:t>
            </w:r>
            <w:r w:rsidRPr="0B9D780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kazana w polu 26. </w:t>
            </w:r>
            <w:r w:rsidRPr="0B9D7800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 xml:space="preserve">Liczba udziałów w grze w podziale na stawki </w:t>
            </w:r>
            <w:r w:rsidRPr="0B9D780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powinna </w:t>
            </w:r>
            <w:r w:rsidR="00017AB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stanowić</w:t>
            </w:r>
            <w:r w:rsidR="00A11A5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  <w:r w:rsidRPr="0B9D780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sumę wszystkich udziałów w</w:t>
            </w:r>
            <w:r w:rsidR="00017AB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y</w:t>
            </w:r>
            <w:r w:rsidRPr="0B9D780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kazanych w polach 27</w:t>
            </w:r>
            <w:r w:rsidR="0035008F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-</w:t>
            </w:r>
            <w:r w:rsidRPr="0B9D780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30.</w:t>
            </w:r>
          </w:p>
        </w:tc>
      </w:tr>
    </w:tbl>
    <w:p w14:paraId="5BBAFF9E" w14:textId="2FA1CD2E" w:rsidR="648B8EA5" w:rsidRDefault="648B8EA5" w:rsidP="648B8EA5">
      <w:pPr>
        <w:spacing w:line="252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52B1C601" w14:textId="0A10E046" w:rsidR="02DC1669" w:rsidRDefault="648B8EA5" w:rsidP="0B9D7800">
      <w:pPr>
        <w:spacing w:line="252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B9D7800">
        <w:rPr>
          <w:rFonts w:ascii="Calibri" w:eastAsia="Calibri" w:hAnsi="Calibri" w:cs="Calibri"/>
          <w:color w:val="000000" w:themeColor="text1"/>
          <w:sz w:val="24"/>
          <w:szCs w:val="24"/>
        </w:rPr>
        <w:t>W przypadku pozostałych pól</w:t>
      </w:r>
      <w:r w:rsidR="0035008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27-30.</w:t>
      </w:r>
      <w:r w:rsidRPr="0B9D7800">
        <w:rPr>
          <w:rFonts w:ascii="Calibri" w:eastAsia="Calibri" w:hAnsi="Calibri" w:cs="Calibri"/>
          <w:color w:val="000000" w:themeColor="text1"/>
          <w:sz w:val="24"/>
          <w:szCs w:val="24"/>
        </w:rPr>
        <w:t>, podmiot wykazuje liczbę udziałów w grze w podziale na stawki</w:t>
      </w:r>
      <w:r w:rsidR="00017AB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mieszczące się we wskazanych przedziałach</w:t>
      </w:r>
      <w:r w:rsidRPr="0B9D7800">
        <w:rPr>
          <w:rFonts w:ascii="Calibri" w:eastAsia="Calibri" w:hAnsi="Calibri" w:cs="Calibri"/>
          <w:color w:val="000000" w:themeColor="text1"/>
          <w:sz w:val="24"/>
          <w:szCs w:val="24"/>
        </w:rPr>
        <w:t>.</w:t>
      </w:r>
    </w:p>
    <w:p w14:paraId="5E44FC58" w14:textId="4247F134" w:rsidR="02DC1669" w:rsidRDefault="02DC1669" w:rsidP="0B9D7800">
      <w:pPr>
        <w:spacing w:line="252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451667F9" w14:textId="53C7E9A8" w:rsidR="02DC1669" w:rsidRDefault="02DC1669" w:rsidP="02DC1669"/>
    <w:sectPr w:rsidR="02DC1669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45D17A" w14:textId="77777777" w:rsidR="0028335E" w:rsidRDefault="0028335E" w:rsidP="001647DD">
      <w:pPr>
        <w:spacing w:after="0" w:line="240" w:lineRule="auto"/>
      </w:pPr>
      <w:r>
        <w:separator/>
      </w:r>
    </w:p>
  </w:endnote>
  <w:endnote w:type="continuationSeparator" w:id="0">
    <w:p w14:paraId="03173CEA" w14:textId="77777777" w:rsidR="0028335E" w:rsidRDefault="0028335E" w:rsidP="001647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36FF4A" w14:textId="4314C340" w:rsidR="00C9007E" w:rsidRDefault="00C9007E">
    <w:pPr>
      <w:pStyle w:val="Stopka"/>
    </w:pPr>
    <w:r w:rsidRPr="002245C8">
      <w:rPr>
        <w:b/>
        <w:bCs/>
      </w:rPr>
      <w:t xml:space="preserve">Ministerstwo Finansów  </w:t>
    </w:r>
    <w:r w:rsidRPr="002245C8">
      <w:t>/  gov.pl/finanse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A85DB3" w14:textId="77777777" w:rsidR="0028335E" w:rsidRDefault="0028335E" w:rsidP="001647DD">
      <w:pPr>
        <w:spacing w:after="0" w:line="240" w:lineRule="auto"/>
      </w:pPr>
      <w:r>
        <w:separator/>
      </w:r>
    </w:p>
  </w:footnote>
  <w:footnote w:type="continuationSeparator" w:id="0">
    <w:p w14:paraId="75FBC926" w14:textId="77777777" w:rsidR="0028335E" w:rsidRDefault="0028335E" w:rsidP="001647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35C436" w14:textId="699629E6" w:rsidR="00C9007E" w:rsidRDefault="00EA422A" w:rsidP="00C9007E">
    <w:pPr>
      <w:pStyle w:val="Nagwek"/>
      <w:jc w:val="right"/>
    </w:pPr>
    <w:r>
      <w:rPr>
        <w:noProof/>
        <w:lang w:eastAsia="pl-PL"/>
      </w:rPr>
      <w:drawing>
        <wp:inline distT="0" distB="0" distL="0" distR="0" wp14:anchorId="40D254BD" wp14:editId="3E842FF5">
          <wp:extent cx="1447800" cy="657225"/>
          <wp:effectExtent l="0" t="0" r="0" b="0"/>
          <wp:docPr id="13" name="Obraz 3" descr="01_znak_podstawowy_kolor_biale_tl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3" descr="01_znak_podstawowy_kolor_biale_tl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C636C7A"/>
    <w:rsid w:val="000024FD"/>
    <w:rsid w:val="00017AB5"/>
    <w:rsid w:val="00046BE4"/>
    <w:rsid w:val="000A5E14"/>
    <w:rsid w:val="000C3533"/>
    <w:rsid w:val="0013794D"/>
    <w:rsid w:val="001647DD"/>
    <w:rsid w:val="00187A84"/>
    <w:rsid w:val="00197D2A"/>
    <w:rsid w:val="001C42F8"/>
    <w:rsid w:val="0028335E"/>
    <w:rsid w:val="00295385"/>
    <w:rsid w:val="00296EC3"/>
    <w:rsid w:val="002D25BF"/>
    <w:rsid w:val="002F5719"/>
    <w:rsid w:val="0035008F"/>
    <w:rsid w:val="003A16E5"/>
    <w:rsid w:val="004267FC"/>
    <w:rsid w:val="0046094A"/>
    <w:rsid w:val="004B0426"/>
    <w:rsid w:val="004C3B08"/>
    <w:rsid w:val="00504107"/>
    <w:rsid w:val="00590F8B"/>
    <w:rsid w:val="00671E05"/>
    <w:rsid w:val="006E1E09"/>
    <w:rsid w:val="007431DE"/>
    <w:rsid w:val="00761F07"/>
    <w:rsid w:val="0079406C"/>
    <w:rsid w:val="008006C0"/>
    <w:rsid w:val="00834C16"/>
    <w:rsid w:val="008771AC"/>
    <w:rsid w:val="008C2E52"/>
    <w:rsid w:val="008E359E"/>
    <w:rsid w:val="009F5B16"/>
    <w:rsid w:val="009F60E6"/>
    <w:rsid w:val="00A11A5E"/>
    <w:rsid w:val="00AA215F"/>
    <w:rsid w:val="00AF4D3C"/>
    <w:rsid w:val="00BB75D8"/>
    <w:rsid w:val="00C177C8"/>
    <w:rsid w:val="00C9007E"/>
    <w:rsid w:val="00CE0844"/>
    <w:rsid w:val="00D914EF"/>
    <w:rsid w:val="00DE55EC"/>
    <w:rsid w:val="00E928D0"/>
    <w:rsid w:val="00E93F53"/>
    <w:rsid w:val="00EA422A"/>
    <w:rsid w:val="00F26BB1"/>
    <w:rsid w:val="00FA1DBA"/>
    <w:rsid w:val="0193E3E2"/>
    <w:rsid w:val="02B81C78"/>
    <w:rsid w:val="02DC1669"/>
    <w:rsid w:val="03BA8E66"/>
    <w:rsid w:val="04CB84A4"/>
    <w:rsid w:val="05565EC7"/>
    <w:rsid w:val="0B9D7800"/>
    <w:rsid w:val="0C47B178"/>
    <w:rsid w:val="0F6EDD8A"/>
    <w:rsid w:val="11B1F532"/>
    <w:rsid w:val="1209A4AA"/>
    <w:rsid w:val="16C2C98A"/>
    <w:rsid w:val="17FC15E5"/>
    <w:rsid w:val="2189CFCE"/>
    <w:rsid w:val="2382908B"/>
    <w:rsid w:val="25F89B9A"/>
    <w:rsid w:val="2C4995D8"/>
    <w:rsid w:val="2ED13BA6"/>
    <w:rsid w:val="34734EEB"/>
    <w:rsid w:val="3EEF4CF6"/>
    <w:rsid w:val="40801AF7"/>
    <w:rsid w:val="4086F00C"/>
    <w:rsid w:val="4239A641"/>
    <w:rsid w:val="451AC33B"/>
    <w:rsid w:val="473A318C"/>
    <w:rsid w:val="48376D5D"/>
    <w:rsid w:val="4A0DD4E0"/>
    <w:rsid w:val="52AEC348"/>
    <w:rsid w:val="5BC99160"/>
    <w:rsid w:val="5BD2B8F1"/>
    <w:rsid w:val="648B8EA5"/>
    <w:rsid w:val="6885AE4E"/>
    <w:rsid w:val="68CFE327"/>
    <w:rsid w:val="6C636C7A"/>
    <w:rsid w:val="6FA80D7B"/>
    <w:rsid w:val="702555B2"/>
    <w:rsid w:val="724C3427"/>
    <w:rsid w:val="739B6532"/>
    <w:rsid w:val="763ED2C3"/>
    <w:rsid w:val="77C09076"/>
    <w:rsid w:val="79180160"/>
    <w:rsid w:val="7D66A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C636C7A"/>
  <w15:chartTrackingRefBased/>
  <w15:docId w15:val="{9A76D1D3-D9F9-47EB-9426-819D553BD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1647D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647D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647D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47D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47D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47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47D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00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007E"/>
  </w:style>
  <w:style w:type="paragraph" w:styleId="Stopka">
    <w:name w:val="footer"/>
    <w:basedOn w:val="Normalny"/>
    <w:link w:val="StopkaZnak"/>
    <w:uiPriority w:val="99"/>
    <w:unhideWhenUsed/>
    <w:rsid w:val="00C900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00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74F33E0C005824E98FB13034E126CB0" ma:contentTypeVersion="2" ma:contentTypeDescription="Utwórz nowy dokument." ma:contentTypeScope="" ma:versionID="bbbe865181abd98914998ccc029f7f61">
  <xsd:schema xmlns:xsd="http://www.w3.org/2001/XMLSchema" xmlns:xs="http://www.w3.org/2001/XMLSchema" xmlns:p="http://schemas.microsoft.com/office/2006/metadata/properties" xmlns:ns2="cef15add-c3a2-4a77-b125-c9e990ce14e2" targetNamespace="http://schemas.microsoft.com/office/2006/metadata/properties" ma:root="true" ma:fieldsID="fa8260a9c6238625f2be04464d4b775c" ns2:_="">
    <xsd:import namespace="cef15add-c3a2-4a77-b125-c9e990ce14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f15add-c3a2-4a77-b125-c9e990ce14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CB8D95-2DF1-4466-A8A2-EA0F0F32B7BF}">
  <ds:schemaRefs>
    <ds:schemaRef ds:uri="cef15add-c3a2-4a77-b125-c9e990ce14e2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A597CCB-D94D-406A-AEE3-C8A99D938A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FD452D-B5E2-4E97-A6AE-CB54FB936C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f15add-c3a2-4a77-b125-c9e990ce14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A85BAF6-E86F-4711-9E34-A908D949C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2790</Characters>
  <Application>Microsoft Office Word</Application>
  <DocSecurity>4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Witek Kacper</dc:creator>
  <cp:keywords/>
  <dc:description/>
  <cp:lastModifiedBy>Mierzejewski Radosław</cp:lastModifiedBy>
  <cp:revision>2</cp:revision>
  <dcterms:created xsi:type="dcterms:W3CDTF">2022-12-05T08:01:00Z</dcterms:created>
  <dcterms:modified xsi:type="dcterms:W3CDTF">2022-12-05T08:01:00Z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0x010100274F33E0C005824E98FB13034E126CB0</vt:lpwstr>
  </property>
  <property fmtid="{D5CDD505-2E9C-101B-9397-08002B2CF9AE}" pid="3" name="MFCATEGORY">
    <vt:lpwstr>InformacjePrzeznaczoneWylacznieDoUzytkuWewnetrznego</vt:lpwstr>
  </property>
  <property fmtid="{D5CDD505-2E9C-101B-9397-08002B2CF9AE}" pid="4" name="MFClassifiedBy">
    <vt:lpwstr>MF\ASKZ;Skuzińska Beata</vt:lpwstr>
  </property>
  <property fmtid="{D5CDD505-2E9C-101B-9397-08002B2CF9AE}" pid="5" name="MFClassificationDate">
    <vt:lpwstr>2022-04-12T12:01:36.9849396+02:00</vt:lpwstr>
  </property>
  <property fmtid="{D5CDD505-2E9C-101B-9397-08002B2CF9AE}" pid="6" name="MFClassifiedBySID">
    <vt:lpwstr>MF\S-1-5-21-1525952054-1005573771-2909822258-7570</vt:lpwstr>
  </property>
  <property fmtid="{D5CDD505-2E9C-101B-9397-08002B2CF9AE}" pid="7" name="MFGRNItemId">
    <vt:lpwstr>GRN-ff60f1f8-db3f-4e36-bab7-a492b9ef917d</vt:lpwstr>
  </property>
  <property fmtid="{D5CDD505-2E9C-101B-9397-08002B2CF9AE}" pid="8" name="MFHash">
    <vt:lpwstr>0QEJIwoGt0WADWAzSbOFvNRAM9fVA6Ttgutqy25ToBo=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