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19" w:rsidRPr="00232719" w:rsidRDefault="00725B19" w:rsidP="00725B19">
      <w:pPr>
        <w:jc w:val="center"/>
        <w:rPr>
          <w:rFonts w:cstheme="minorHAnsi"/>
          <w:b/>
          <w:color w:val="FF0000"/>
          <w:sz w:val="28"/>
        </w:rPr>
      </w:pPr>
      <w:bookmarkStart w:id="0" w:name="_GoBack"/>
      <w:bookmarkEnd w:id="0"/>
      <w:r w:rsidRPr="00232719">
        <w:rPr>
          <w:rFonts w:cstheme="minorHAnsi"/>
          <w:b/>
          <w:color w:val="FF0000"/>
          <w:sz w:val="28"/>
        </w:rPr>
        <w:t xml:space="preserve">IGH/1A </w:t>
      </w:r>
    </w:p>
    <w:p w:rsidR="00D155BC" w:rsidRDefault="00D155BC" w:rsidP="00725B19">
      <w:pPr>
        <w:jc w:val="center"/>
        <w:rPr>
          <w:rFonts w:cstheme="minorHAnsi"/>
          <w:b/>
          <w:sz w:val="28"/>
        </w:rPr>
      </w:pPr>
      <w:r w:rsidRPr="0027217B">
        <w:rPr>
          <w:rFonts w:cstheme="minorHAnsi"/>
          <w:b/>
          <w:sz w:val="28"/>
        </w:rPr>
        <w:t>INFORMACJA DOTYCZĄCA FUNKCJONOWANIA OŚRODKA GIER</w:t>
      </w:r>
    </w:p>
    <w:p w:rsidR="00FB507A" w:rsidRPr="0027217B" w:rsidRDefault="00FB507A" w:rsidP="00725B19">
      <w:pPr>
        <w:jc w:val="center"/>
        <w:rPr>
          <w:rFonts w:cstheme="minorHAnsi"/>
          <w:b/>
          <w:sz w:val="28"/>
        </w:rPr>
      </w:pPr>
    </w:p>
    <w:p w:rsidR="00685A2E" w:rsidRPr="00685A2E" w:rsidRDefault="00725B19" w:rsidP="48BE435E">
      <w:pPr>
        <w:rPr>
          <w:sz w:val="24"/>
          <w:szCs w:val="24"/>
        </w:rPr>
      </w:pPr>
      <w:r w:rsidRPr="2FF0B478">
        <w:rPr>
          <w:sz w:val="24"/>
          <w:szCs w:val="24"/>
        </w:rPr>
        <w:t>Załącznik IGH/1A skła</w:t>
      </w:r>
      <w:r w:rsidR="00456126">
        <w:rPr>
          <w:sz w:val="24"/>
          <w:szCs w:val="24"/>
        </w:rPr>
        <w:t xml:space="preserve">da wyłącznie podmiot prowadzący </w:t>
      </w:r>
      <w:r w:rsidRPr="2FF0B478">
        <w:rPr>
          <w:sz w:val="24"/>
          <w:szCs w:val="24"/>
        </w:rPr>
        <w:t xml:space="preserve">więcej niż jeden ośrodek gier. Ośrodkiem gier </w:t>
      </w:r>
      <w:r w:rsidRPr="00C31BFA">
        <w:rPr>
          <w:sz w:val="24"/>
          <w:szCs w:val="24"/>
        </w:rPr>
        <w:t>zgodnie z art. 4 pkt 1 ustawy jest: kasyno gry, salon gry bingo pieniężne i salon gier na automatach. Formularz należy wypełnić oddzielnie dla każdego ośrodka gier, z</w:t>
      </w:r>
      <w:r w:rsidR="00F0519C" w:rsidRPr="00C31BFA">
        <w:rPr>
          <w:sz w:val="24"/>
          <w:szCs w:val="24"/>
        </w:rPr>
        <w:t> </w:t>
      </w:r>
      <w:r w:rsidRPr="00C31BFA">
        <w:rPr>
          <w:sz w:val="24"/>
          <w:szCs w:val="24"/>
        </w:rPr>
        <w:t xml:space="preserve">podaniem jego nazwy i adresu. </w:t>
      </w:r>
    </w:p>
    <w:tbl>
      <w:tblPr>
        <w:tblStyle w:val="Tabela-Siatka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685A2E" w:rsidTr="00F86AD1">
        <w:trPr>
          <w:trHeight w:val="2306"/>
        </w:trPr>
        <w:tc>
          <w:tcPr>
            <w:tcW w:w="9136" w:type="dxa"/>
          </w:tcPr>
          <w:p w:rsidR="00685A2E" w:rsidRPr="00AF7368" w:rsidRDefault="00EB65CB" w:rsidP="00EB65CB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AF7368">
              <w:rPr>
                <w:rFonts w:cstheme="minorHAnsi"/>
                <w:b/>
                <w:color w:val="000000" w:themeColor="text1"/>
                <w:sz w:val="24"/>
              </w:rPr>
              <w:t>UWAGA</w:t>
            </w:r>
          </w:p>
          <w:p w:rsidR="00685A2E" w:rsidRDefault="00685A2E" w:rsidP="00685A2E">
            <w:pPr>
              <w:rPr>
                <w:rFonts w:cstheme="minorHAnsi"/>
                <w:sz w:val="24"/>
              </w:rPr>
            </w:pPr>
            <w:r w:rsidRPr="00685A2E">
              <w:rPr>
                <w:rFonts w:cstheme="minorHAnsi"/>
                <w:sz w:val="24"/>
              </w:rPr>
              <w:t xml:space="preserve">Podmioty urządzające i prowadzące działalność w zakresie gier hazardowych, które nie posiadają ośrodków </w:t>
            </w:r>
            <w:r w:rsidRPr="00AF7368">
              <w:rPr>
                <w:rFonts w:cstheme="minorHAnsi"/>
                <w:sz w:val="24"/>
              </w:rPr>
              <w:t>gier NIE SKŁADAJĄ załącznika</w:t>
            </w:r>
            <w:r w:rsidRPr="00685A2E">
              <w:rPr>
                <w:rFonts w:cstheme="minorHAnsi"/>
                <w:sz w:val="24"/>
              </w:rPr>
              <w:t xml:space="preserve"> IGH/1A.</w:t>
            </w:r>
          </w:p>
          <w:p w:rsidR="00AF7368" w:rsidRDefault="00AF7368" w:rsidP="00F12DC5">
            <w:pPr>
              <w:rPr>
                <w:rFonts w:cstheme="minorHAnsi"/>
                <w:sz w:val="24"/>
              </w:rPr>
            </w:pPr>
          </w:p>
          <w:p w:rsidR="00C31BFA" w:rsidRDefault="00C31BFA" w:rsidP="00C31BFA">
            <w:pPr>
              <w:rPr>
                <w:sz w:val="24"/>
                <w:szCs w:val="24"/>
              </w:rPr>
            </w:pPr>
            <w:r w:rsidRPr="00C31BFA">
              <w:rPr>
                <w:sz w:val="24"/>
                <w:szCs w:val="24"/>
              </w:rPr>
              <w:t xml:space="preserve">W przypadku przesyłania formularza IGH/1A drogą elektroniczną, w polu 113. </w:t>
            </w:r>
            <w:r w:rsidRPr="00C31BFA">
              <w:rPr>
                <w:i/>
                <w:sz w:val="24"/>
                <w:szCs w:val="24"/>
              </w:rPr>
              <w:t>Liczba dołączonych załączników IGH/1A</w:t>
            </w:r>
            <w:r w:rsidRPr="00C31BFA">
              <w:rPr>
                <w:sz w:val="24"/>
                <w:szCs w:val="24"/>
              </w:rPr>
              <w:t xml:space="preserve">  </w:t>
            </w:r>
            <w:r w:rsidRPr="00C31BFA">
              <w:rPr>
                <w:rFonts w:cstheme="minorHAnsi"/>
                <w:sz w:val="24"/>
                <w:szCs w:val="24"/>
              </w:rPr>
              <w:t>̶</w:t>
            </w:r>
            <w:r w:rsidRPr="00C31BFA">
              <w:rPr>
                <w:sz w:val="24"/>
                <w:szCs w:val="24"/>
              </w:rPr>
              <w:t xml:space="preserve"> podmiot powinien wpisać 1 w przypadku przekazania załączników lub 0 w przypadku ich braku.</w:t>
            </w:r>
          </w:p>
          <w:p w:rsidR="001C60F8" w:rsidRDefault="001C60F8" w:rsidP="00B8627C">
            <w:pPr>
              <w:rPr>
                <w:rFonts w:cstheme="minorHAnsi"/>
                <w:sz w:val="24"/>
              </w:rPr>
            </w:pPr>
          </w:p>
        </w:tc>
      </w:tr>
    </w:tbl>
    <w:p w:rsidR="00685A2E" w:rsidRDefault="00685A2E" w:rsidP="00725B19">
      <w:pPr>
        <w:rPr>
          <w:rFonts w:cstheme="minorHAnsi"/>
          <w:sz w:val="24"/>
        </w:rPr>
      </w:pPr>
    </w:p>
    <w:p w:rsidR="00725B19" w:rsidRPr="00C31BFA" w:rsidRDefault="00725B19" w:rsidP="2FF0B478">
      <w:pPr>
        <w:rPr>
          <w:sz w:val="24"/>
          <w:szCs w:val="24"/>
        </w:rPr>
      </w:pPr>
      <w:r w:rsidRPr="2FF0B478">
        <w:rPr>
          <w:sz w:val="24"/>
          <w:szCs w:val="24"/>
        </w:rPr>
        <w:t xml:space="preserve">Pole </w:t>
      </w:r>
      <w:r w:rsidR="00053672" w:rsidRPr="2FF0B478">
        <w:rPr>
          <w:sz w:val="24"/>
          <w:szCs w:val="24"/>
        </w:rPr>
        <w:t>18</w:t>
      </w:r>
      <w:r w:rsidRPr="2FF0B478">
        <w:rPr>
          <w:sz w:val="24"/>
          <w:szCs w:val="24"/>
        </w:rPr>
        <w:t xml:space="preserve">. </w:t>
      </w:r>
      <w:r w:rsidRPr="2FF0B478">
        <w:rPr>
          <w:i/>
          <w:iCs/>
          <w:sz w:val="24"/>
          <w:szCs w:val="24"/>
        </w:rPr>
        <w:t xml:space="preserve">Przychody ogółem ośrodka gier </w:t>
      </w:r>
      <w:r w:rsidRPr="2FF0B478">
        <w:rPr>
          <w:sz w:val="24"/>
          <w:szCs w:val="24"/>
        </w:rPr>
        <w:t xml:space="preserve">– należy wykazać kwotę zgodnie z prowadzoną dokumentacją rachunkową; wykazana w polu </w:t>
      </w:r>
      <w:r w:rsidR="00053672" w:rsidRPr="2FF0B478">
        <w:rPr>
          <w:sz w:val="24"/>
          <w:szCs w:val="24"/>
        </w:rPr>
        <w:t>18</w:t>
      </w:r>
      <w:r w:rsidRPr="2FF0B478">
        <w:rPr>
          <w:sz w:val="24"/>
          <w:szCs w:val="24"/>
        </w:rPr>
        <w:t xml:space="preserve">. kwota powinna być równa lub większa </w:t>
      </w:r>
      <w:r w:rsidRPr="00C31BFA">
        <w:rPr>
          <w:sz w:val="24"/>
          <w:szCs w:val="24"/>
        </w:rPr>
        <w:t xml:space="preserve">kwocie wykazanej w polu </w:t>
      </w:r>
      <w:r w:rsidR="00053672" w:rsidRPr="00C31BFA">
        <w:rPr>
          <w:sz w:val="24"/>
          <w:szCs w:val="24"/>
        </w:rPr>
        <w:t>19</w:t>
      </w:r>
      <w:r w:rsidRPr="00C31BFA">
        <w:rPr>
          <w:sz w:val="24"/>
          <w:szCs w:val="24"/>
        </w:rPr>
        <w:t xml:space="preserve">. </w:t>
      </w:r>
    </w:p>
    <w:p w:rsidR="00725B19" w:rsidRPr="00C31BFA" w:rsidRDefault="00725B19" w:rsidP="00725B19">
      <w:pPr>
        <w:rPr>
          <w:rFonts w:cstheme="minorHAnsi"/>
          <w:sz w:val="24"/>
        </w:rPr>
      </w:pPr>
      <w:r w:rsidRPr="00C31BFA">
        <w:rPr>
          <w:rFonts w:cstheme="minorHAnsi"/>
          <w:sz w:val="24"/>
        </w:rPr>
        <w:t xml:space="preserve">Pole </w:t>
      </w:r>
      <w:r w:rsidR="00053672" w:rsidRPr="00C31BFA">
        <w:rPr>
          <w:rFonts w:cstheme="minorHAnsi"/>
          <w:sz w:val="24"/>
        </w:rPr>
        <w:t>20</w:t>
      </w:r>
      <w:r w:rsidRPr="00C31BFA">
        <w:rPr>
          <w:rFonts w:cstheme="minorHAnsi"/>
          <w:sz w:val="24"/>
        </w:rPr>
        <w:t xml:space="preserve">. </w:t>
      </w:r>
      <w:r w:rsidRPr="00C31BFA">
        <w:rPr>
          <w:rFonts w:cstheme="minorHAnsi"/>
          <w:i/>
          <w:sz w:val="24"/>
        </w:rPr>
        <w:t>Koszty ogółem ośrodka gier</w:t>
      </w:r>
      <w:r w:rsidR="00B8627C" w:rsidRPr="00C31BFA">
        <w:rPr>
          <w:rFonts w:cstheme="minorHAnsi"/>
          <w:sz w:val="24"/>
        </w:rPr>
        <w:t xml:space="preserve">  ̶</w:t>
      </w:r>
      <w:r w:rsidRPr="00C31BFA">
        <w:rPr>
          <w:rFonts w:cstheme="minorHAnsi"/>
          <w:sz w:val="24"/>
        </w:rPr>
        <w:t xml:space="preserve"> należy wykazać kwotę zgodnie z prowadzoną dokumentacją rachunkową. </w:t>
      </w:r>
    </w:p>
    <w:p w:rsidR="00D340EE" w:rsidRPr="00C31BFA" w:rsidRDefault="00725B19" w:rsidP="0033144E">
      <w:pPr>
        <w:spacing w:after="0" w:line="240" w:lineRule="auto"/>
        <w:rPr>
          <w:sz w:val="24"/>
          <w:szCs w:val="24"/>
        </w:rPr>
      </w:pPr>
      <w:r w:rsidRPr="00C31BFA">
        <w:rPr>
          <w:sz w:val="24"/>
          <w:szCs w:val="24"/>
        </w:rPr>
        <w:t xml:space="preserve">W przypadku pozostałych pól, sumy kwot w nich wykazanych we wszystkich złożonych załącznikach powinny równać się kwotom wykazanym w odpowiednich polach głównego formularza IGH-1, z wyjątkiem sytuacji, w którym turniej gry pokera organizowany jest poza kasynem gry. Wówczas w dwóch przypadkach może wystąpić różnica: </w:t>
      </w:r>
    </w:p>
    <w:p w:rsidR="00D340EE" w:rsidRPr="00C31BFA" w:rsidRDefault="00725B19" w:rsidP="0033144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1BFA">
        <w:rPr>
          <w:sz w:val="24"/>
          <w:szCs w:val="24"/>
        </w:rPr>
        <w:t xml:space="preserve">pomiędzy sumą, wykazanych w Załącznikach IGH/1A, pól </w:t>
      </w:r>
      <w:r w:rsidR="00053672" w:rsidRPr="00C31BFA">
        <w:rPr>
          <w:sz w:val="24"/>
          <w:szCs w:val="24"/>
        </w:rPr>
        <w:t>19</w:t>
      </w:r>
      <w:r w:rsidRPr="00C31BFA">
        <w:rPr>
          <w:sz w:val="24"/>
          <w:szCs w:val="24"/>
        </w:rPr>
        <w:t xml:space="preserve">. </w:t>
      </w:r>
      <w:r w:rsidRPr="00C31BFA">
        <w:rPr>
          <w:i/>
          <w:iCs/>
          <w:sz w:val="24"/>
          <w:szCs w:val="24"/>
        </w:rPr>
        <w:t>Przychody ośrodka gier z</w:t>
      </w:r>
      <w:r w:rsidR="00B8627C" w:rsidRPr="00C31BFA">
        <w:rPr>
          <w:i/>
          <w:iCs/>
          <w:sz w:val="24"/>
          <w:szCs w:val="24"/>
        </w:rPr>
        <w:t> </w:t>
      </w:r>
      <w:r w:rsidRPr="00C31BFA">
        <w:rPr>
          <w:i/>
          <w:iCs/>
          <w:sz w:val="24"/>
          <w:szCs w:val="24"/>
        </w:rPr>
        <w:t>gier hazardowych</w:t>
      </w:r>
      <w:r w:rsidRPr="00C31BFA">
        <w:rPr>
          <w:sz w:val="24"/>
          <w:szCs w:val="24"/>
        </w:rPr>
        <w:t>, a polem 11. z formularza IGH-1 </w:t>
      </w:r>
      <w:r w:rsidRPr="00C31BFA">
        <w:rPr>
          <w:i/>
          <w:iCs/>
          <w:sz w:val="24"/>
          <w:szCs w:val="24"/>
        </w:rPr>
        <w:t>Przychody z gier hazardowych</w:t>
      </w:r>
      <w:r w:rsidRPr="00C31BFA">
        <w:rPr>
          <w:sz w:val="24"/>
          <w:szCs w:val="24"/>
        </w:rPr>
        <w:t xml:space="preserve"> oraz</w:t>
      </w:r>
      <w:r w:rsidR="004E2DF4" w:rsidRPr="00C31BFA">
        <w:rPr>
          <w:sz w:val="24"/>
          <w:szCs w:val="24"/>
        </w:rPr>
        <w:t>,</w:t>
      </w:r>
    </w:p>
    <w:p w:rsidR="00725B19" w:rsidRPr="00C31BFA" w:rsidRDefault="00725B19" w:rsidP="0033144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1BFA">
        <w:rPr>
          <w:sz w:val="24"/>
          <w:szCs w:val="24"/>
        </w:rPr>
        <w:t xml:space="preserve">pomiędzy sumą, wykazanych w załącznikach IGH/1A pól </w:t>
      </w:r>
      <w:r w:rsidR="00053672" w:rsidRPr="00C31BFA">
        <w:rPr>
          <w:sz w:val="24"/>
          <w:szCs w:val="24"/>
        </w:rPr>
        <w:t>24</w:t>
      </w:r>
      <w:r w:rsidRPr="00C31BFA">
        <w:rPr>
          <w:sz w:val="24"/>
          <w:szCs w:val="24"/>
        </w:rPr>
        <w:t xml:space="preserve">. </w:t>
      </w:r>
      <w:r w:rsidRPr="00C31BFA">
        <w:rPr>
          <w:i/>
          <w:iCs/>
          <w:sz w:val="24"/>
          <w:szCs w:val="24"/>
        </w:rPr>
        <w:t>Wysokość pobranego podatku od gier od podatników biorących udział w pokerze rozgrywanym w formie turnieju gry pokera</w:t>
      </w:r>
      <w:r w:rsidRPr="00C31BFA">
        <w:rPr>
          <w:sz w:val="24"/>
          <w:szCs w:val="24"/>
        </w:rPr>
        <w:t xml:space="preserve"> z załączników IGH/1A, a polem 19. z formularza IGH-1 o tożsamej nazwie.</w:t>
      </w:r>
    </w:p>
    <w:p w:rsidR="00725B19" w:rsidRPr="003520C2" w:rsidRDefault="00725B19" w:rsidP="00725B19">
      <w:pPr>
        <w:rPr>
          <w:sz w:val="24"/>
          <w:szCs w:val="24"/>
        </w:rPr>
      </w:pPr>
    </w:p>
    <w:sectPr w:rsidR="00725B19" w:rsidRPr="003520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B3" w:rsidRDefault="00716FB3" w:rsidP="00725B19">
      <w:pPr>
        <w:spacing w:after="0" w:line="240" w:lineRule="auto"/>
      </w:pPr>
      <w:r>
        <w:separator/>
      </w:r>
    </w:p>
  </w:endnote>
  <w:endnote w:type="continuationSeparator" w:id="0">
    <w:p w:rsidR="00716FB3" w:rsidRDefault="00716FB3" w:rsidP="0072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19" w:rsidRDefault="00232719">
    <w:pPr>
      <w:pStyle w:val="Stopka"/>
    </w:pPr>
    <w:r w:rsidRPr="002245C8">
      <w:rPr>
        <w:b/>
        <w:bCs/>
      </w:rPr>
      <w:t xml:space="preserve">Ministerstwo Finansów  </w:t>
    </w:r>
    <w:r w:rsidRPr="002245C8">
      <w:t>/  gov.pl/finanse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B3" w:rsidRDefault="00716FB3" w:rsidP="00725B19">
      <w:pPr>
        <w:spacing w:after="0" w:line="240" w:lineRule="auto"/>
      </w:pPr>
      <w:r>
        <w:separator/>
      </w:r>
    </w:p>
  </w:footnote>
  <w:footnote w:type="continuationSeparator" w:id="0">
    <w:p w:rsidR="00716FB3" w:rsidRDefault="00716FB3" w:rsidP="0072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19" w:rsidRDefault="00A36872" w:rsidP="00232719">
    <w:pPr>
      <w:pStyle w:val="Nagwek"/>
      <w:jc w:val="right"/>
    </w:pPr>
    <w:r>
      <w:rPr>
        <w:noProof/>
        <w:lang w:eastAsia="pl-PL"/>
      </w:rPr>
      <w:drawing>
        <wp:inline distT="0" distB="0" distL="0" distR="0" wp14:anchorId="77BA1BCF" wp14:editId="39C9D5AD">
          <wp:extent cx="1600200" cy="657225"/>
          <wp:effectExtent l="0" t="0" r="0" b="0"/>
          <wp:docPr id="13" name="Obraz 3" descr="01_znak_podstawowy_kolor_biale_t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01_znak_podstawowy_kolor_biale_t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5BA"/>
    <w:multiLevelType w:val="hybridMultilevel"/>
    <w:tmpl w:val="36C22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19"/>
    <w:rsid w:val="00053672"/>
    <w:rsid w:val="00085D44"/>
    <w:rsid w:val="000C1CD2"/>
    <w:rsid w:val="000F763A"/>
    <w:rsid w:val="0016714E"/>
    <w:rsid w:val="001C60F8"/>
    <w:rsid w:val="00200BD6"/>
    <w:rsid w:val="00232719"/>
    <w:rsid w:val="0027217B"/>
    <w:rsid w:val="00293186"/>
    <w:rsid w:val="0033064B"/>
    <w:rsid w:val="0033144E"/>
    <w:rsid w:val="003520C2"/>
    <w:rsid w:val="003F1949"/>
    <w:rsid w:val="0041339F"/>
    <w:rsid w:val="00437EB1"/>
    <w:rsid w:val="00456126"/>
    <w:rsid w:val="004A1352"/>
    <w:rsid w:val="004B29E8"/>
    <w:rsid w:val="004D0D9D"/>
    <w:rsid w:val="004E2DF4"/>
    <w:rsid w:val="005C5AAC"/>
    <w:rsid w:val="00685A2E"/>
    <w:rsid w:val="006A0009"/>
    <w:rsid w:val="006F581C"/>
    <w:rsid w:val="00716FB3"/>
    <w:rsid w:val="00725B19"/>
    <w:rsid w:val="00761EA2"/>
    <w:rsid w:val="007A4E48"/>
    <w:rsid w:val="007C371C"/>
    <w:rsid w:val="008B00EB"/>
    <w:rsid w:val="008B6F3A"/>
    <w:rsid w:val="009D0EBF"/>
    <w:rsid w:val="00A36872"/>
    <w:rsid w:val="00A86885"/>
    <w:rsid w:val="00AF7368"/>
    <w:rsid w:val="00B8627C"/>
    <w:rsid w:val="00BA097C"/>
    <w:rsid w:val="00C31BFA"/>
    <w:rsid w:val="00C65154"/>
    <w:rsid w:val="00C738F5"/>
    <w:rsid w:val="00C772D1"/>
    <w:rsid w:val="00CA56C5"/>
    <w:rsid w:val="00D04750"/>
    <w:rsid w:val="00D155BC"/>
    <w:rsid w:val="00D340EE"/>
    <w:rsid w:val="00D44EED"/>
    <w:rsid w:val="00DC1B6D"/>
    <w:rsid w:val="00E05D2B"/>
    <w:rsid w:val="00EB65CB"/>
    <w:rsid w:val="00F0519C"/>
    <w:rsid w:val="00F12DC5"/>
    <w:rsid w:val="00F175BE"/>
    <w:rsid w:val="00F86AD1"/>
    <w:rsid w:val="00FB507A"/>
    <w:rsid w:val="19967A49"/>
    <w:rsid w:val="26CC055B"/>
    <w:rsid w:val="2FF0B478"/>
    <w:rsid w:val="48B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2A9A18-972E-4507-9D76-A6FBA07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B19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5BC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5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6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6C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6C5"/>
    <w:rPr>
      <w:rFonts w:eastAsiaTheme="minorEastAsi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19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3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4F33E0C005824E98FB13034E126CB0" ma:contentTypeVersion="2" ma:contentTypeDescription="Utwórz nowy dokument." ma:contentTypeScope="" ma:versionID="bbbe865181abd98914998ccc029f7f61">
  <xsd:schema xmlns:xsd="http://www.w3.org/2001/XMLSchema" xmlns:xs="http://www.w3.org/2001/XMLSchema" xmlns:p="http://schemas.microsoft.com/office/2006/metadata/properties" xmlns:ns2="cef15add-c3a2-4a77-b125-c9e990ce14e2" targetNamespace="http://schemas.microsoft.com/office/2006/metadata/properties" ma:root="true" ma:fieldsID="fa8260a9c6238625f2be04464d4b775c" ns2:_="">
    <xsd:import namespace="cef15add-c3a2-4a77-b125-c9e990ce1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add-c3a2-4a77-b125-c9e990ce1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D0A8C-21A4-4758-AF94-C0128CD9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E9D12-9770-49AE-B345-C202515418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ef15add-c3a2-4a77-b125-c9e990ce14e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F25DE9-810A-47C9-8AD9-E273033E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add-c3a2-4a77-b125-c9e990ce1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Berdowska Anna</dc:creator>
  <cp:keywords/>
  <dc:description/>
  <cp:lastModifiedBy>Mierzejewski Radosław</cp:lastModifiedBy>
  <cp:revision>2</cp:revision>
  <dcterms:created xsi:type="dcterms:W3CDTF">2022-12-05T08:00:00Z</dcterms:created>
  <dcterms:modified xsi:type="dcterms:W3CDTF">2022-12-05T08:00:00Z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0x010100274F33E0C005824E98FB13034E126CB0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MF\ABYA;Berdowska Anna</vt:lpwstr>
  </property>
  <property fmtid="{D5CDD505-2E9C-101B-9397-08002B2CF9AE}" pid="5" name="MFClassificationDate">
    <vt:lpwstr>2022-02-15T12:15:20.1242916+01:00</vt:lpwstr>
  </property>
  <property fmtid="{D5CDD505-2E9C-101B-9397-08002B2CF9AE}" pid="6" name="MFClassifiedBySID">
    <vt:lpwstr>MF\S-1-5-21-1525952054-1005573771-2909822258-6392</vt:lpwstr>
  </property>
  <property fmtid="{D5CDD505-2E9C-101B-9397-08002B2CF9AE}" pid="7" name="MFGRNItemId">
    <vt:lpwstr>GRN-105c2a05-b704-4e78-98cf-31299117911a</vt:lpwstr>
  </property>
  <property fmtid="{D5CDD505-2E9C-101B-9397-08002B2CF9AE}" pid="8" name="MFHash">
    <vt:lpwstr>FOoVgU3J+tGfsLcwoNsJJObyAbdyKWiPmlNQxPlW0H4=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