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62" w:rsidRDefault="002E308E">
      <w:pPr>
        <w:pStyle w:val="Heading110"/>
        <w:keepNext/>
        <w:keepLines/>
      </w:pPr>
      <w:bookmarkStart w:id="0" w:name="bookmark1"/>
      <w:bookmarkStart w:id="1" w:name="bookmark2"/>
      <w:bookmarkStart w:id="2" w:name="bookmark3"/>
      <w:bookmarkStart w:id="3" w:name="_GoBack"/>
      <w:bookmarkEnd w:id="3"/>
      <w:r>
        <w:t xml:space="preserve">Ukraina – nadzwyczajna pomoc </w:t>
      </w:r>
      <w:r w:rsidR="001252C9">
        <w:t xml:space="preserve">humanitarna: przepisy dotyczące </w:t>
      </w:r>
      <w:r>
        <w:t>przyw</w:t>
      </w:r>
      <w:r w:rsidR="001252C9">
        <w:t>o</w:t>
      </w:r>
      <w:r>
        <w:t>z</w:t>
      </w:r>
      <w:bookmarkEnd w:id="0"/>
      <w:bookmarkEnd w:id="1"/>
      <w:bookmarkEnd w:id="2"/>
      <w:r w:rsidR="001252C9">
        <w:t>u</w:t>
      </w:r>
    </w:p>
    <w:p w:rsidR="00A73262" w:rsidRDefault="002E308E">
      <w:pPr>
        <w:pStyle w:val="Bodytext10"/>
        <w:spacing w:after="520"/>
        <w:jc w:val="both"/>
      </w:pPr>
      <w:r>
        <w:t>W kontekście kryzysu ukraińskiego podmioty gospodarcze lub osoby pragnące przywieźć towary humanitarne ze Zjednoczonego Królestwa, Szwajcarii lub innego państwa trzeciego do Unii Europejskiej mogą skorzystać z procedury tranzytu lub tymczasowo skorzystać ze zgłoszenia ustnego.</w:t>
      </w:r>
    </w:p>
    <w:p w:rsidR="00A73262" w:rsidRDefault="002E308E">
      <w:pPr>
        <w:pStyle w:val="Heading210"/>
        <w:keepNext/>
        <w:keepLines/>
        <w:spacing w:after="520"/>
        <w:jc w:val="both"/>
      </w:pPr>
      <w:bookmarkStart w:id="4" w:name="bookmark4"/>
      <w:bookmarkStart w:id="5" w:name="bookmark5"/>
      <w:bookmarkStart w:id="6" w:name="bookmark6"/>
      <w:r>
        <w:t>Jakie formalności mają zastosowanie?</w:t>
      </w:r>
      <w:bookmarkEnd w:id="4"/>
      <w:bookmarkEnd w:id="5"/>
      <w:bookmarkEnd w:id="6"/>
    </w:p>
    <w:p w:rsidR="00A73262" w:rsidRDefault="002E308E">
      <w:pPr>
        <w:pStyle w:val="Heading310"/>
        <w:keepNext/>
        <w:keepLines/>
        <w:jc w:val="both"/>
      </w:pPr>
      <w:bookmarkStart w:id="7" w:name="bookmark7"/>
      <w:bookmarkStart w:id="8" w:name="bookmark8"/>
      <w:bookmarkStart w:id="9" w:name="bookmark9"/>
      <w:r>
        <w:t xml:space="preserve">Wykorzystanie </w:t>
      </w:r>
      <w:r w:rsidR="001252C9">
        <w:t>deklaracji</w:t>
      </w:r>
      <w:r>
        <w:t xml:space="preserve"> ustne</w:t>
      </w:r>
      <w:r w:rsidR="001252C9">
        <w:t>j</w:t>
      </w:r>
      <w:r>
        <w:t>:</w:t>
      </w:r>
      <w:bookmarkEnd w:id="7"/>
      <w:bookmarkEnd w:id="8"/>
      <w:bookmarkEnd w:id="9"/>
    </w:p>
    <w:p w:rsidR="00A73262" w:rsidRDefault="002E308E">
      <w:pPr>
        <w:pStyle w:val="Bodytext10"/>
        <w:spacing w:after="260"/>
        <w:jc w:val="both"/>
      </w:pPr>
      <w:r>
        <w:t xml:space="preserve">Towary pochodzące z darowizn lub </w:t>
      </w:r>
      <w:r w:rsidR="001252C9">
        <w:t>zbiórek</w:t>
      </w:r>
      <w:r>
        <w:t xml:space="preserve"> mogą być zwolnione ze składania deklaracji zwykle przewidzianych do odprawy celnej przy przywozie.</w:t>
      </w:r>
    </w:p>
    <w:p w:rsidR="00A73262" w:rsidRDefault="002E308E">
      <w:pPr>
        <w:pStyle w:val="Bodytext10"/>
        <w:spacing w:after="520"/>
        <w:jc w:val="both"/>
      </w:pPr>
      <w:r>
        <w:t>Towary te muszą być przywożone wyłącznie w kontekście kryzysu ukraińskiego.</w:t>
      </w:r>
    </w:p>
    <w:p w:rsidR="00A73262" w:rsidRDefault="002E308E">
      <w:pPr>
        <w:pStyle w:val="Bodytext10"/>
        <w:spacing w:after="0"/>
        <w:jc w:val="both"/>
      </w:pPr>
      <w:r>
        <w:rPr>
          <w:u w:val="single"/>
        </w:rPr>
        <w:t>Uwaga</w:t>
      </w:r>
      <w:r>
        <w:t>:</w:t>
      </w:r>
    </w:p>
    <w:p w:rsidR="00A73262" w:rsidRDefault="002E308E">
      <w:pPr>
        <w:pStyle w:val="Bodytext10"/>
        <w:numPr>
          <w:ilvl w:val="0"/>
          <w:numId w:val="1"/>
        </w:numPr>
        <w:tabs>
          <w:tab w:val="left" w:pos="740"/>
        </w:tabs>
        <w:spacing w:after="0" w:line="228" w:lineRule="auto"/>
        <w:ind w:left="740" w:hanging="360"/>
        <w:jc w:val="both"/>
      </w:pPr>
      <w:bookmarkStart w:id="10" w:name="bookmark10"/>
      <w:bookmarkEnd w:id="10"/>
      <w:r>
        <w:t>towary zakupione na terytorium kraju nie są objęte tymi formalnościami;</w:t>
      </w:r>
    </w:p>
    <w:p w:rsidR="00A73262" w:rsidRDefault="002E308E">
      <w:pPr>
        <w:pStyle w:val="Bodytext10"/>
        <w:numPr>
          <w:ilvl w:val="0"/>
          <w:numId w:val="1"/>
        </w:numPr>
        <w:tabs>
          <w:tab w:val="left" w:pos="740"/>
        </w:tabs>
        <w:spacing w:after="0" w:line="209" w:lineRule="auto"/>
        <w:ind w:firstLine="380"/>
      </w:pPr>
      <w:bookmarkStart w:id="11" w:name="bookmark11"/>
      <w:bookmarkEnd w:id="11"/>
      <w:r>
        <w:t>wyłączone są produkty podlegające akcyzie (gł</w:t>
      </w:r>
      <w:r w:rsidR="001252C9">
        <w:t>.</w:t>
      </w:r>
      <w:r>
        <w:t xml:space="preserve"> alkohol i tytoń);</w:t>
      </w:r>
    </w:p>
    <w:p w:rsidR="00A73262" w:rsidRPr="001252C9" w:rsidRDefault="002E308E" w:rsidP="001252C9">
      <w:pPr>
        <w:pStyle w:val="Bodytext10"/>
        <w:numPr>
          <w:ilvl w:val="0"/>
          <w:numId w:val="1"/>
        </w:numPr>
        <w:tabs>
          <w:tab w:val="left" w:pos="740"/>
        </w:tabs>
        <w:spacing w:after="520"/>
        <w:ind w:left="740" w:hanging="360"/>
        <w:jc w:val="both"/>
      </w:pPr>
      <w:bookmarkStart w:id="12" w:name="bookmark12"/>
      <w:bookmarkEnd w:id="12"/>
      <w:r>
        <w:t xml:space="preserve">wyłączone są również towary objęte zakazami lub ograniczeniami (np. materiały </w:t>
      </w:r>
      <w:r w:rsidR="001252C9">
        <w:t>militarne</w:t>
      </w:r>
      <w:r>
        <w:t xml:space="preserve">, broń palna itp.) </w:t>
      </w:r>
      <w:r w:rsidR="001252C9">
        <w:t>[</w:t>
      </w:r>
      <w:hyperlink r:id="rId7" w:history="1">
        <w:r w:rsidR="001252C9" w:rsidRPr="001252C9">
          <w:rPr>
            <w:rStyle w:val="Hipercze"/>
          </w:rPr>
          <w:t>https://www.douane.gouv.fr/fiche/restriction-de-circulation-ou-interdiction-de-certaines-marchandises</w:t>
        </w:r>
      </w:hyperlink>
      <w:hyperlink r:id="rId8" w:history="1">
        <w:r w:rsidRPr="001252C9">
          <w:t>]</w:t>
        </w:r>
      </w:hyperlink>
      <w:r w:rsidRPr="001252C9">
        <w:t>.</w:t>
      </w:r>
    </w:p>
    <w:p w:rsidR="00A73262" w:rsidRDefault="002E308E">
      <w:pPr>
        <w:pStyle w:val="Bodytext10"/>
        <w:spacing w:after="520"/>
        <w:jc w:val="both"/>
      </w:pPr>
      <w:r>
        <w:t xml:space="preserve">Niezależnie od tego, czy towary są przeznaczone </w:t>
      </w:r>
      <w:r w:rsidR="001252C9">
        <w:t>do</w:t>
      </w:r>
      <w:r>
        <w:t xml:space="preserve"> Ukrain</w:t>
      </w:r>
      <w:r w:rsidR="001252C9">
        <w:t>y</w:t>
      </w:r>
      <w:r>
        <w:t xml:space="preserve"> czy na granic</w:t>
      </w:r>
      <w:r w:rsidR="001252C9">
        <w:t>ę</w:t>
      </w:r>
      <w:r>
        <w:t xml:space="preserve"> (np. </w:t>
      </w:r>
      <w:r w:rsidR="001252C9">
        <w:t>polską</w:t>
      </w:r>
      <w:r>
        <w:t>), należy rozróżnić następujące dw</w:t>
      </w:r>
      <w:r w:rsidR="001252C9">
        <w:t>ie</w:t>
      </w:r>
      <w:r>
        <w:t xml:space="preserve"> </w:t>
      </w:r>
      <w:r w:rsidR="001252C9">
        <w:t>sytuacje</w:t>
      </w:r>
      <w:r>
        <w:t>:</w:t>
      </w:r>
    </w:p>
    <w:p w:rsidR="00A73262" w:rsidRDefault="001252C9">
      <w:pPr>
        <w:pStyle w:val="P68B1DB1-Style61"/>
        <w:spacing w:after="260"/>
        <w:jc w:val="both"/>
      </w:pPr>
      <w:r>
        <w:rPr>
          <w:u w:val="single"/>
        </w:rPr>
        <w:t>Sytuacja</w:t>
      </w:r>
      <w:r w:rsidR="002E308E">
        <w:rPr>
          <w:u w:val="single"/>
        </w:rPr>
        <w:t xml:space="preserve"> 1</w:t>
      </w:r>
      <w:r w:rsidR="002E308E">
        <w:t>: całkowita wartość przywożonych towarów nie przekracza 1 000 EUR.</w:t>
      </w:r>
    </w:p>
    <w:p w:rsidR="00A73262" w:rsidRDefault="002E308E">
      <w:pPr>
        <w:pStyle w:val="Bodytext10"/>
        <w:spacing w:after="260"/>
        <w:jc w:val="both"/>
      </w:pPr>
      <w:r>
        <w:t>Nie należy przedstawiać żadnych dokumentów.</w:t>
      </w:r>
    </w:p>
    <w:p w:rsidR="00A73262" w:rsidRPr="0076101B" w:rsidRDefault="002E308E">
      <w:pPr>
        <w:pStyle w:val="Bodytext10"/>
        <w:spacing w:after="260"/>
        <w:jc w:val="both"/>
        <w:rPr>
          <w:lang w:val="en-GB"/>
        </w:rPr>
      </w:pPr>
      <w:r>
        <w:rPr>
          <w:u w:val="single"/>
        </w:rPr>
        <w:t>Uwaga</w:t>
      </w:r>
      <w:r>
        <w:t xml:space="preserve">: po stronie </w:t>
      </w:r>
      <w:r w:rsidR="008C2A36">
        <w:t>Wlk. Brytanii,</w:t>
      </w:r>
      <w:r>
        <w:t xml:space="preserve"> przyjazd </w:t>
      </w:r>
      <w:r w:rsidR="008C2A36">
        <w:t>do miejsca wyjazdu, dany</w:t>
      </w:r>
      <w:r>
        <w:t xml:space="preserve"> środek transportu musi </w:t>
      </w:r>
      <w:r w:rsidR="008C2A36">
        <w:t>być</w:t>
      </w:r>
      <w:r>
        <w:t xml:space="preserve"> </w:t>
      </w:r>
      <w:r w:rsidR="008C2A36">
        <w:t>sparowany</w:t>
      </w:r>
      <w:r>
        <w:t xml:space="preserve"> </w:t>
      </w:r>
      <w:r w:rsidR="008C2A36">
        <w:t>jako</w:t>
      </w:r>
      <w:r>
        <w:t xml:space="preserve"> „pust</w:t>
      </w:r>
      <w:r w:rsidR="008C2A36">
        <w:t>a</w:t>
      </w:r>
      <w:r>
        <w:t>” ciężar</w:t>
      </w:r>
      <w:r w:rsidR="008C2A36">
        <w:t xml:space="preserve">ówka </w:t>
      </w:r>
      <w:r>
        <w:t>w</w:t>
      </w:r>
      <w:r w:rsidR="008C2A36">
        <w:t xml:space="preserve"> systemie B</w:t>
      </w:r>
      <w:r>
        <w:t>rexi</w:t>
      </w:r>
      <w:r w:rsidR="008C2A36">
        <w:t>t</w:t>
      </w:r>
      <w:r>
        <w:t xml:space="preserve"> </w:t>
      </w:r>
      <w:r w:rsidR="008C2A36">
        <w:t>SI</w:t>
      </w:r>
      <w:r>
        <w:t xml:space="preserve">. </w:t>
      </w:r>
      <w:r w:rsidR="008C2A36">
        <w:t xml:space="preserve">Tym samy należy odpowiedzieć ustnej odpowiedzi twierdzącej </w:t>
      </w:r>
      <w:r>
        <w:t xml:space="preserve">na pytanie </w:t>
      </w:r>
      <w:r w:rsidR="008C2A36">
        <w:t>„</w:t>
      </w:r>
      <w:r w:rsidR="008C2A36" w:rsidRPr="008C2A36">
        <w:t>czy przewozisz przesyłki pocztowe</w:t>
      </w:r>
      <w:r w:rsidR="0076101B">
        <w:t xml:space="preserve"> lub</w:t>
      </w:r>
      <w:r w:rsidR="008C2A36" w:rsidRPr="008C2A36">
        <w:t xml:space="preserve"> czy </w:t>
      </w:r>
      <w:r w:rsidR="0076101B">
        <w:t>pojazd jest</w:t>
      </w:r>
      <w:r w:rsidR="008C2A36" w:rsidRPr="008C2A36">
        <w:t xml:space="preserve"> pusty?</w:t>
      </w:r>
      <w:r w:rsidR="008C2A36">
        <w:t>”</w:t>
      </w:r>
      <w:r w:rsidR="0076101B">
        <w:t xml:space="preserve"> </w:t>
      </w:r>
      <w:r w:rsidR="0076101B" w:rsidRPr="0076101B">
        <w:rPr>
          <w:i/>
          <w:lang w:val="en-GB"/>
        </w:rPr>
        <w:t>“transportez-vous des envois postaux ou êtes vous à vide?”</w:t>
      </w:r>
    </w:p>
    <w:p w:rsidR="0076101B" w:rsidRDefault="00EE3750">
      <w:pPr>
        <w:pStyle w:val="Bodytext10"/>
        <w:spacing w:after="0"/>
        <w:jc w:val="both"/>
      </w:pPr>
      <w:hyperlink r:id="rId9" w:history="1">
        <w:r w:rsidR="0076101B" w:rsidRPr="00C94400">
          <w:rPr>
            <w:rStyle w:val="Hipercze"/>
          </w:rPr>
          <w:t>www.douane.gouv.fr/sites/default/files/2021-04/16/Brexit-Comment-reussir-son-importation-grace-a-la-frontiere-intelligente.pdf</w:t>
        </w:r>
      </w:hyperlink>
    </w:p>
    <w:p w:rsidR="0076101B" w:rsidRDefault="0076101B">
      <w:pPr>
        <w:pStyle w:val="Bodytext10"/>
        <w:spacing w:after="0"/>
        <w:jc w:val="both"/>
      </w:pPr>
    </w:p>
    <w:p w:rsidR="0076101B" w:rsidRDefault="0076101B">
      <w:pPr>
        <w:pStyle w:val="Bodytext10"/>
        <w:spacing w:after="0"/>
        <w:jc w:val="both"/>
        <w:rPr>
          <w:b/>
        </w:rPr>
      </w:pPr>
      <w:r>
        <w:rPr>
          <w:b/>
          <w:u w:val="single"/>
        </w:rPr>
        <w:t>Sytuacja</w:t>
      </w:r>
      <w:r w:rsidR="002E308E">
        <w:rPr>
          <w:b/>
          <w:u w:val="single"/>
        </w:rPr>
        <w:t xml:space="preserve"> 2</w:t>
      </w:r>
      <w:r w:rsidR="002E308E">
        <w:rPr>
          <w:b/>
        </w:rPr>
        <w:t xml:space="preserve">: całkowita wartość przywożonych towarów przekracza 1 000 EUR. </w:t>
      </w:r>
    </w:p>
    <w:p w:rsidR="0076101B" w:rsidRDefault="0076101B">
      <w:pPr>
        <w:pStyle w:val="Bodytext10"/>
        <w:spacing w:after="0"/>
        <w:jc w:val="both"/>
        <w:rPr>
          <w:b/>
        </w:rPr>
      </w:pPr>
    </w:p>
    <w:p w:rsidR="00A73262" w:rsidRDefault="0076101B">
      <w:pPr>
        <w:pStyle w:val="Bodytext10"/>
        <w:spacing w:after="0"/>
        <w:jc w:val="both"/>
      </w:pPr>
      <w:r>
        <w:lastRenderedPageBreak/>
        <w:t>Należy</w:t>
      </w:r>
      <w:r w:rsidR="002E308E">
        <w:t xml:space="preserve"> złoż</w:t>
      </w:r>
      <w:r>
        <w:t>yć</w:t>
      </w:r>
      <w:r w:rsidR="002E308E">
        <w:t xml:space="preserve"> w urzędzie celnym pierwszego miejsca wprowadzenia na obszar celny U</w:t>
      </w:r>
      <w:r>
        <w:t>E</w:t>
      </w:r>
      <w:r w:rsidR="002E308E">
        <w:t xml:space="preserve"> (Francja) wykazu lub szczegółowe</w:t>
      </w:r>
      <w:r>
        <w:t>j</w:t>
      </w:r>
      <w:r w:rsidR="002E308E">
        <w:t xml:space="preserve"> </w:t>
      </w:r>
      <w:r>
        <w:t>listy</w:t>
      </w:r>
      <w:r w:rsidR="002E308E">
        <w:t xml:space="preserve"> zawierające</w:t>
      </w:r>
      <w:r>
        <w:t>j</w:t>
      </w:r>
      <w:r w:rsidR="002E308E">
        <w:t>:</w:t>
      </w:r>
    </w:p>
    <w:p w:rsidR="0076101B" w:rsidRDefault="0076101B">
      <w:pPr>
        <w:pStyle w:val="Bodytext10"/>
        <w:spacing w:after="0"/>
        <w:jc w:val="both"/>
      </w:pPr>
    </w:p>
    <w:p w:rsidR="00A73262" w:rsidRDefault="002E308E">
      <w:pPr>
        <w:pStyle w:val="Bodytext10"/>
        <w:numPr>
          <w:ilvl w:val="0"/>
          <w:numId w:val="2"/>
        </w:numPr>
        <w:tabs>
          <w:tab w:val="left" w:pos="748"/>
        </w:tabs>
        <w:spacing w:after="0"/>
        <w:ind w:firstLine="380"/>
        <w:jc w:val="both"/>
      </w:pPr>
      <w:bookmarkStart w:id="13" w:name="bookmark13"/>
      <w:bookmarkEnd w:id="13"/>
      <w:r>
        <w:t>nazw</w:t>
      </w:r>
      <w:r w:rsidR="0076101B">
        <w:t>ę</w:t>
      </w:r>
      <w:r>
        <w:t xml:space="preserve"> i adres organizacji</w:t>
      </w:r>
    </w:p>
    <w:p w:rsidR="00A73262" w:rsidRDefault="002E308E">
      <w:pPr>
        <w:pStyle w:val="Bodytext10"/>
        <w:numPr>
          <w:ilvl w:val="0"/>
          <w:numId w:val="2"/>
        </w:numPr>
        <w:tabs>
          <w:tab w:val="left" w:pos="748"/>
        </w:tabs>
        <w:spacing w:after="0"/>
        <w:ind w:firstLine="380"/>
        <w:jc w:val="both"/>
      </w:pPr>
      <w:bookmarkStart w:id="14" w:name="bookmark14"/>
      <w:bookmarkEnd w:id="14"/>
      <w:r>
        <w:t>kraj przeznaczenia</w:t>
      </w:r>
    </w:p>
    <w:p w:rsidR="00A73262" w:rsidRDefault="002E308E">
      <w:pPr>
        <w:pStyle w:val="Bodytext10"/>
        <w:numPr>
          <w:ilvl w:val="0"/>
          <w:numId w:val="2"/>
        </w:numPr>
        <w:tabs>
          <w:tab w:val="left" w:pos="748"/>
        </w:tabs>
        <w:spacing w:after="0"/>
        <w:ind w:left="740" w:hanging="360"/>
        <w:jc w:val="both"/>
      </w:pPr>
      <w:bookmarkStart w:id="15" w:name="bookmark15"/>
      <w:bookmarkEnd w:id="15"/>
      <w:r>
        <w:t>rodzaj i przybliżoną wagę przywożonych towarów (odzież, środki spożywcze, leki, materiały, podstawowe potrzeby itp.);</w:t>
      </w:r>
    </w:p>
    <w:p w:rsidR="00A73262" w:rsidRDefault="0076101B">
      <w:pPr>
        <w:pStyle w:val="Bodytext10"/>
        <w:numPr>
          <w:ilvl w:val="0"/>
          <w:numId w:val="2"/>
        </w:numPr>
        <w:tabs>
          <w:tab w:val="left" w:pos="748"/>
        </w:tabs>
        <w:spacing w:after="0"/>
        <w:ind w:firstLine="380"/>
        <w:jc w:val="both"/>
      </w:pPr>
      <w:bookmarkStart w:id="16" w:name="bookmark16"/>
      <w:bookmarkEnd w:id="16"/>
      <w:r>
        <w:t>dane</w:t>
      </w:r>
      <w:r w:rsidR="002E308E">
        <w:t xml:space="preserve"> środk</w:t>
      </w:r>
      <w:r>
        <w:t>a</w:t>
      </w:r>
      <w:r w:rsidR="002E308E">
        <w:t xml:space="preserve"> transportu;</w:t>
      </w:r>
    </w:p>
    <w:p w:rsidR="00A73262" w:rsidRDefault="002E308E">
      <w:pPr>
        <w:pStyle w:val="Bodytext10"/>
        <w:numPr>
          <w:ilvl w:val="0"/>
          <w:numId w:val="2"/>
        </w:numPr>
        <w:tabs>
          <w:tab w:val="left" w:pos="748"/>
        </w:tabs>
        <w:spacing w:after="260"/>
        <w:ind w:left="740" w:hanging="360"/>
        <w:jc w:val="both"/>
      </w:pPr>
      <w:bookmarkStart w:id="17" w:name="bookmark17"/>
      <w:bookmarkEnd w:id="17"/>
      <w:r>
        <w:t>oświadczenie podpisane przez osobę odpowiedzialną za operacje przywozu, stwierdzające, że przesyłki mają charakter humanitarny lub dobroczynny.</w:t>
      </w:r>
    </w:p>
    <w:p w:rsidR="00A73262" w:rsidRDefault="002E308E">
      <w:pPr>
        <w:pStyle w:val="Bodytext10"/>
        <w:spacing w:after="540"/>
        <w:jc w:val="both"/>
      </w:pPr>
      <w:r>
        <w:t>Dokumenty te należy złożyć w dwóch egzemplarzach, z których jeden zostanie Państwu przekazany po potwierdzeniu przez urząd celny pierwszego miejsca wprowadzenia na obszar celny U</w:t>
      </w:r>
      <w:r w:rsidR="0076101B">
        <w:t>E</w:t>
      </w:r>
      <w:r>
        <w:t xml:space="preserve"> </w:t>
      </w:r>
      <w:r w:rsidR="0076101B">
        <w:t>dla</w:t>
      </w:r>
      <w:r>
        <w:t xml:space="preserve"> towarzysz</w:t>
      </w:r>
      <w:r w:rsidR="0076101B">
        <w:t>enia</w:t>
      </w:r>
      <w:r>
        <w:t xml:space="preserve"> towarom do miejsca przeznaczenia.</w:t>
      </w:r>
      <w:r w:rsidR="0076101B">
        <w:t xml:space="preserve"> </w:t>
      </w:r>
    </w:p>
    <w:p w:rsidR="00A73262" w:rsidRPr="008B05C6" w:rsidRDefault="002E308E">
      <w:pPr>
        <w:pStyle w:val="Bodytext10"/>
        <w:spacing w:after="540"/>
        <w:jc w:val="both"/>
        <w:rPr>
          <w:lang w:val="en-GB"/>
        </w:rPr>
      </w:pPr>
      <w:r>
        <w:rPr>
          <w:u w:val="single"/>
        </w:rPr>
        <w:t>Uwaga</w:t>
      </w:r>
      <w:r>
        <w:t xml:space="preserve">: po stronie </w:t>
      </w:r>
      <w:r w:rsidR="0076101B">
        <w:t xml:space="preserve">Wlk. Brytanii </w:t>
      </w:r>
      <w:r>
        <w:t xml:space="preserve">po przybyciu do </w:t>
      </w:r>
      <w:r w:rsidR="0076101B">
        <w:t>miejsca</w:t>
      </w:r>
      <w:r>
        <w:t xml:space="preserve"> wy</w:t>
      </w:r>
      <w:r w:rsidR="0076101B">
        <w:t>prowadzenia,</w:t>
      </w:r>
      <w:r>
        <w:t xml:space="preserve"> dany środek transportu będzie musiał być </w:t>
      </w:r>
      <w:r w:rsidR="0076101B">
        <w:t>zaplombowany</w:t>
      </w:r>
      <w:r>
        <w:t xml:space="preserve"> zgodnie z </w:t>
      </w:r>
      <w:r w:rsidR="0076101B">
        <w:t>wymogami</w:t>
      </w:r>
      <w:r>
        <w:t xml:space="preserve"> karnetu TIR/ATA. W związku z tym należy odpowiedzi</w:t>
      </w:r>
      <w:r w:rsidR="0076101B">
        <w:t>eć negatywnie</w:t>
      </w:r>
      <w:r>
        <w:t xml:space="preserve"> na pytanie „czy przewozisz przesyłki pocztowe lub czy </w:t>
      </w:r>
      <w:r w:rsidR="0076101B">
        <w:t>pojazd jest pusty</w:t>
      </w:r>
      <w:r>
        <w:t>?”</w:t>
      </w:r>
      <w:r w:rsidR="0076101B">
        <w:t xml:space="preserve"> </w:t>
      </w:r>
      <w:r w:rsidR="0076101B" w:rsidRPr="0076101B">
        <w:rPr>
          <w:i/>
          <w:lang w:val="en-GB"/>
        </w:rPr>
        <w:t>“transportez-vous des envois postaux ou êtes vous à vide?”</w:t>
      </w:r>
      <w:r w:rsidRPr="008B05C6">
        <w:rPr>
          <w:lang w:val="en-GB"/>
        </w:rPr>
        <w:t>.</w:t>
      </w:r>
    </w:p>
    <w:p w:rsidR="00A73262" w:rsidRDefault="002E308E">
      <w:pPr>
        <w:pStyle w:val="Heading310"/>
        <w:keepNext/>
        <w:keepLines/>
        <w:jc w:val="both"/>
      </w:pPr>
      <w:bookmarkStart w:id="18" w:name="bookmark18"/>
      <w:bookmarkStart w:id="19" w:name="bookmark19"/>
      <w:bookmarkStart w:id="20" w:name="bookmark20"/>
      <w:r>
        <w:t>Stosowanie procedury tranzytu</w:t>
      </w:r>
      <w:bookmarkEnd w:id="18"/>
      <w:bookmarkEnd w:id="19"/>
      <w:bookmarkEnd w:id="20"/>
    </w:p>
    <w:p w:rsidR="00A73262" w:rsidRDefault="002E308E">
      <w:pPr>
        <w:pStyle w:val="Bodytext10"/>
        <w:spacing w:after="200" w:line="288" w:lineRule="auto"/>
        <w:jc w:val="both"/>
      </w:pPr>
      <w:r>
        <w:t>Jeżeli stosowana jest procedura tranzytowa, urząd celny wyjścia stosown</w:t>
      </w:r>
      <w:r w:rsidR="008B05C6">
        <w:t>ie</w:t>
      </w:r>
      <w:r>
        <w:t>:</w:t>
      </w:r>
    </w:p>
    <w:p w:rsidR="00A73262" w:rsidRDefault="008B05C6">
      <w:pPr>
        <w:pStyle w:val="Bodytext10"/>
        <w:numPr>
          <w:ilvl w:val="0"/>
          <w:numId w:val="3"/>
        </w:numPr>
        <w:tabs>
          <w:tab w:val="left" w:pos="748"/>
        </w:tabs>
        <w:spacing w:after="100" w:line="288" w:lineRule="auto"/>
        <w:ind w:left="740" w:hanging="360"/>
        <w:jc w:val="both"/>
      </w:pPr>
      <w:bookmarkStart w:id="21" w:name="bookmark21"/>
      <w:bookmarkEnd w:id="21"/>
      <w:r>
        <w:t>w</w:t>
      </w:r>
      <w:r w:rsidR="002E308E">
        <w:t xml:space="preserve"> przypadku </w:t>
      </w:r>
      <w:r w:rsidR="002E308E">
        <w:rPr>
          <w:b/>
        </w:rPr>
        <w:t xml:space="preserve">transportu lotniczego </w:t>
      </w:r>
      <w:r w:rsidR="002E308E">
        <w:t xml:space="preserve">lub </w:t>
      </w:r>
      <w:r w:rsidR="002E308E">
        <w:rPr>
          <w:b/>
        </w:rPr>
        <w:t>morskiego</w:t>
      </w:r>
      <w:r w:rsidR="002E308E">
        <w:t>: nie wymaga dokument</w:t>
      </w:r>
      <w:r>
        <w:t>u</w:t>
      </w:r>
      <w:r w:rsidR="002E308E">
        <w:t xml:space="preserve"> tranzytow</w:t>
      </w:r>
      <w:r>
        <w:t>ego</w:t>
      </w:r>
      <w:r w:rsidR="002E308E">
        <w:t>.</w:t>
      </w:r>
    </w:p>
    <w:p w:rsidR="00A73262" w:rsidRDefault="008B05C6">
      <w:pPr>
        <w:pStyle w:val="Bodytext10"/>
        <w:numPr>
          <w:ilvl w:val="0"/>
          <w:numId w:val="3"/>
        </w:numPr>
        <w:tabs>
          <w:tab w:val="left" w:pos="748"/>
        </w:tabs>
        <w:spacing w:after="0" w:line="314" w:lineRule="auto"/>
        <w:ind w:firstLine="380"/>
        <w:jc w:val="both"/>
      </w:pPr>
      <w:bookmarkStart w:id="22" w:name="bookmark22"/>
      <w:bookmarkEnd w:id="22"/>
      <w:r>
        <w:t>w</w:t>
      </w:r>
      <w:r w:rsidR="002E308E">
        <w:t xml:space="preserve"> przypadku </w:t>
      </w:r>
      <w:r w:rsidR="002E308E">
        <w:rPr>
          <w:b/>
        </w:rPr>
        <w:t>transportu drogowego</w:t>
      </w:r>
      <w:r w:rsidR="002E308E">
        <w:t>:</w:t>
      </w:r>
    </w:p>
    <w:p w:rsidR="00A73262" w:rsidRDefault="002E308E">
      <w:pPr>
        <w:pStyle w:val="Bodytext10"/>
        <w:numPr>
          <w:ilvl w:val="0"/>
          <w:numId w:val="2"/>
        </w:numPr>
        <w:tabs>
          <w:tab w:val="left" w:pos="1095"/>
        </w:tabs>
        <w:spacing w:after="0" w:line="288" w:lineRule="auto"/>
        <w:ind w:left="1100" w:hanging="360"/>
        <w:jc w:val="both"/>
      </w:pPr>
      <w:bookmarkStart w:id="23" w:name="bookmark23"/>
      <w:bookmarkEnd w:id="23"/>
      <w:r>
        <w:t>podpis</w:t>
      </w:r>
      <w:r w:rsidR="00D10185">
        <w:t>uje</w:t>
      </w:r>
      <w:r>
        <w:t xml:space="preserve"> </w:t>
      </w:r>
      <w:r>
        <w:rPr>
          <w:b/>
        </w:rPr>
        <w:t xml:space="preserve">karnet TIR </w:t>
      </w:r>
      <w:r w:rsidR="00D10185">
        <w:t>dla</w:t>
      </w:r>
      <w:r>
        <w:t xml:space="preserve"> przesyłek przeznaczonych do kraju będącego sygnatariuszem Konwencji TIR</w:t>
      </w:r>
    </w:p>
    <w:p w:rsidR="00527CD2" w:rsidRDefault="00527CD2" w:rsidP="00527CD2">
      <w:pPr>
        <w:pStyle w:val="Bodytext10"/>
        <w:tabs>
          <w:tab w:val="left" w:pos="1095"/>
        </w:tabs>
        <w:spacing w:after="0" w:line="288" w:lineRule="auto"/>
        <w:ind w:left="1100"/>
        <w:jc w:val="both"/>
      </w:pPr>
    </w:p>
    <w:p w:rsidR="00A73262" w:rsidRDefault="002E308E">
      <w:pPr>
        <w:pStyle w:val="Bodytext10"/>
        <w:numPr>
          <w:ilvl w:val="0"/>
          <w:numId w:val="2"/>
        </w:numPr>
        <w:tabs>
          <w:tab w:val="left" w:pos="1095"/>
        </w:tabs>
        <w:spacing w:after="100" w:line="288" w:lineRule="auto"/>
        <w:ind w:left="1100" w:hanging="360"/>
        <w:jc w:val="both"/>
      </w:pPr>
      <w:bookmarkStart w:id="24" w:name="bookmark24"/>
      <w:bookmarkEnd w:id="24"/>
      <w:r>
        <w:t>zlec</w:t>
      </w:r>
      <w:r w:rsidR="00D10185">
        <w:t>a</w:t>
      </w:r>
      <w:r>
        <w:t xml:space="preserve"> sporządzenie zgłoszenia tranzytowego do urzędu celnego przeznaczenia na obszarze celnym U</w:t>
      </w:r>
      <w:r w:rsidR="00D10185">
        <w:t>E</w:t>
      </w:r>
      <w:r>
        <w:t xml:space="preserve"> lub </w:t>
      </w:r>
      <w:r w:rsidR="00D10185">
        <w:t>strony</w:t>
      </w:r>
      <w:r>
        <w:t xml:space="preserve"> </w:t>
      </w:r>
      <w:r w:rsidRPr="00D10185">
        <w:rPr>
          <w:b/>
        </w:rPr>
        <w:t>Konwencji o wspólnej procedurze tranzytowej</w:t>
      </w:r>
      <w:r>
        <w:t>. W takim przypadku część opisowa zgłoszenia tranzytowego składa się ze szczegółowego wykazu towarów.</w:t>
      </w:r>
      <w:r w:rsidR="00D10185">
        <w:t xml:space="preserve"> </w:t>
      </w:r>
    </w:p>
    <w:p w:rsidR="00A73262" w:rsidRDefault="00D10185">
      <w:pPr>
        <w:pStyle w:val="Bodytext10"/>
        <w:spacing w:after="100" w:line="288" w:lineRule="auto"/>
        <w:jc w:val="both"/>
      </w:pPr>
      <w:r>
        <w:t>P</w:t>
      </w:r>
      <w:r w:rsidR="002E308E">
        <w:t>rocedura ta może być stosowana w przypadku urzędu wyjścia znajdującego się we Francji (np. wyprowadzanie towarów ze składu), ale również w innym państwie</w:t>
      </w:r>
      <w:r>
        <w:t xml:space="preserve"> członkowskim</w:t>
      </w:r>
      <w:r w:rsidR="002E308E">
        <w:t xml:space="preserve"> UE lub w państwie </w:t>
      </w:r>
      <w:r>
        <w:t xml:space="preserve">- </w:t>
      </w:r>
      <w:r w:rsidR="002E308E">
        <w:t>stron</w:t>
      </w:r>
      <w:r>
        <w:t>ie</w:t>
      </w:r>
      <w:r w:rsidR="002E308E">
        <w:t xml:space="preserve"> Konwencji o wspólnej procedurze tranzytowej. Procedura ta powinna być zatem preferowana w przypadku przesyłki towarów, na przykład z </w:t>
      </w:r>
      <w:r>
        <w:t>Wlk. Brytanii</w:t>
      </w:r>
      <w:r w:rsidR="002E308E">
        <w:t xml:space="preserve"> lub Szwajcarii.</w:t>
      </w:r>
    </w:p>
    <w:p w:rsidR="00A73262" w:rsidRDefault="002E308E">
      <w:pPr>
        <w:pStyle w:val="P68B1DB1-Style62"/>
        <w:spacing w:line="288" w:lineRule="auto"/>
        <w:jc w:val="both"/>
      </w:pPr>
      <w:r>
        <w:t xml:space="preserve">W przypadku zgłoszeń tranzytowych z francuskiego urzędu do biura znajdującego się w kraju graniczącym z Ukrainą, w przypadku towarów objętych pomocą humanitarną w sytuacjach nadzwyczajnych (odzież, środki spożywcze, leki, materiały, podstawowe </w:t>
      </w:r>
      <w:r>
        <w:lastRenderedPageBreak/>
        <w:t>artykuły pierwszej potrzeby itp.) można wskazać ryczałtową wartość zastosowanej gwarancji w wysokości 1 EUR (system Delta T nie uznaje kwoty należności celnych i podatków, które mogą zostać poniesione w wysokości 0 EUR).</w:t>
      </w:r>
      <w:r w:rsidR="00D10185">
        <w:t xml:space="preserve"> </w:t>
      </w:r>
    </w:p>
    <w:p w:rsidR="00A73262" w:rsidRDefault="002E308E">
      <w:pPr>
        <w:pStyle w:val="P68B1DB1-Style62"/>
        <w:spacing w:after="80"/>
        <w:jc w:val="both"/>
      </w:pPr>
      <w:r>
        <w:t xml:space="preserve">W związku z tym w </w:t>
      </w:r>
      <w:r w:rsidR="006E5319">
        <w:t xml:space="preserve">systemie </w:t>
      </w:r>
      <w:r>
        <w:t>Delta T posiadacze danego systemu muszą:</w:t>
      </w:r>
    </w:p>
    <w:p w:rsidR="00A73262" w:rsidRDefault="002E308E">
      <w:pPr>
        <w:pStyle w:val="P68B1DB1-Style62"/>
        <w:numPr>
          <w:ilvl w:val="0"/>
          <w:numId w:val="2"/>
        </w:numPr>
        <w:tabs>
          <w:tab w:val="left" w:pos="833"/>
        </w:tabs>
        <w:spacing w:after="0"/>
        <w:ind w:left="820" w:hanging="280"/>
        <w:jc w:val="both"/>
      </w:pPr>
      <w:bookmarkStart w:id="25" w:name="bookmark25"/>
      <w:bookmarkEnd w:id="25"/>
      <w:r>
        <w:t>Wpis</w:t>
      </w:r>
      <w:r w:rsidR="006E5319">
        <w:t>ać</w:t>
      </w:r>
      <w:r>
        <w:t xml:space="preserve"> </w:t>
      </w:r>
      <w:r w:rsidR="006E5319">
        <w:t xml:space="preserve">jako kod towaru </w:t>
      </w:r>
      <w:r>
        <w:t>C</w:t>
      </w:r>
      <w:r w:rsidR="006E5319">
        <w:t xml:space="preserve">N </w:t>
      </w:r>
      <w:r>
        <w:t>9919 00 00 „Towary dla organizacji charytatywnych i filantropijnych oraz na rzecz ofiar katastrof”;</w:t>
      </w:r>
    </w:p>
    <w:p w:rsidR="00527CD2" w:rsidRDefault="00527CD2" w:rsidP="00527CD2">
      <w:pPr>
        <w:pStyle w:val="P68B1DB1-Style62"/>
        <w:tabs>
          <w:tab w:val="left" w:pos="833"/>
        </w:tabs>
        <w:spacing w:after="0"/>
        <w:ind w:left="820"/>
        <w:jc w:val="both"/>
      </w:pPr>
    </w:p>
    <w:p w:rsidR="00A73262" w:rsidRDefault="002E308E">
      <w:pPr>
        <w:pStyle w:val="P68B1DB1-Style62"/>
        <w:numPr>
          <w:ilvl w:val="0"/>
          <w:numId w:val="2"/>
        </w:numPr>
        <w:tabs>
          <w:tab w:val="left" w:pos="833"/>
        </w:tabs>
        <w:spacing w:after="360"/>
        <w:ind w:left="820" w:hanging="280"/>
        <w:jc w:val="both"/>
      </w:pPr>
      <w:bookmarkStart w:id="26" w:name="bookmark26"/>
      <w:bookmarkEnd w:id="26"/>
      <w:r>
        <w:t>Skorzystać ze swojej zwykłej gwarancji, przy czym kwota ceł i podatków, które prawdopodobnie zostaną poniesione, wynosi 1 EUR.</w:t>
      </w:r>
      <w:r w:rsidR="006E5319">
        <w:t xml:space="preserve"> </w:t>
      </w:r>
    </w:p>
    <w:p w:rsidR="00A73262" w:rsidRDefault="002E308E">
      <w:pPr>
        <w:pStyle w:val="Heading210"/>
        <w:keepNext/>
        <w:keepLines/>
        <w:spacing w:after="520"/>
        <w:jc w:val="both"/>
      </w:pPr>
      <w:bookmarkStart w:id="27" w:name="bookmark27"/>
      <w:bookmarkStart w:id="28" w:name="bookmark28"/>
      <w:bookmarkStart w:id="29" w:name="bookmark29"/>
      <w:r>
        <w:t>Przypadki towarów objętych środkami ograniczającymi</w:t>
      </w:r>
      <w:bookmarkEnd w:id="27"/>
      <w:bookmarkEnd w:id="28"/>
      <w:bookmarkEnd w:id="29"/>
    </w:p>
    <w:p w:rsidR="00A73262" w:rsidRDefault="002E308E">
      <w:pPr>
        <w:pStyle w:val="Bodytext10"/>
        <w:jc w:val="both"/>
      </w:pPr>
      <w:r>
        <w:rPr>
          <w:u w:val="single"/>
        </w:rPr>
        <w:t xml:space="preserve">Szczególny przypadek </w:t>
      </w:r>
      <w:r w:rsidR="004C5E79">
        <w:rPr>
          <w:u w:val="single"/>
        </w:rPr>
        <w:t xml:space="preserve">- </w:t>
      </w:r>
      <w:r>
        <w:rPr>
          <w:u w:val="single"/>
        </w:rPr>
        <w:t>żywnoś</w:t>
      </w:r>
      <w:r w:rsidR="004C5E79">
        <w:rPr>
          <w:u w:val="single"/>
        </w:rPr>
        <w:t>ć</w:t>
      </w:r>
      <w:r>
        <w:t>:</w:t>
      </w:r>
    </w:p>
    <w:p w:rsidR="00A73262" w:rsidRDefault="002E308E">
      <w:pPr>
        <w:pStyle w:val="Bodytext10"/>
        <w:jc w:val="both"/>
      </w:pPr>
      <w:r>
        <w:t xml:space="preserve">Zgodnie z ustaleniami </w:t>
      </w:r>
      <w:r w:rsidR="004C5E79">
        <w:t>ws.</w:t>
      </w:r>
      <w:r>
        <w:t xml:space="preserve"> </w:t>
      </w:r>
      <w:r w:rsidR="004C5E79">
        <w:t>wyjątków</w:t>
      </w:r>
      <w:r>
        <w:t xml:space="preserve"> wprowadzony</w:t>
      </w:r>
      <w:r w:rsidR="004C5E79">
        <w:t>cj</w:t>
      </w:r>
      <w:r>
        <w:t xml:space="preserve"> przez Służbę Kontroli Granicznej Weterynaryjnej i Fitosanitarnej (SIVEP) </w:t>
      </w:r>
      <w:r>
        <w:rPr>
          <w:b/>
        </w:rPr>
        <w:t>przesyłki pomocy humanitarnej pochodzące z darowizn z</w:t>
      </w:r>
      <w:r w:rsidR="004C5E79">
        <w:rPr>
          <w:b/>
        </w:rPr>
        <w:t xml:space="preserve"> Wielkiej Brytanii</w:t>
      </w:r>
      <w:r>
        <w:rPr>
          <w:b/>
        </w:rPr>
        <w:t xml:space="preserve"> zawierające środki spożywcze podlegające kontrolom SPS przy przywozie lub tranzycie (</w:t>
      </w:r>
      <w:r w:rsidR="004C5E79">
        <w:rPr>
          <w:b/>
        </w:rPr>
        <w:t>kartony</w:t>
      </w:r>
      <w:r>
        <w:rPr>
          <w:b/>
        </w:rPr>
        <w:t xml:space="preserve"> mle</w:t>
      </w:r>
      <w:r w:rsidR="004C5E79">
        <w:rPr>
          <w:b/>
        </w:rPr>
        <w:t>ka</w:t>
      </w:r>
      <w:r>
        <w:rPr>
          <w:b/>
        </w:rPr>
        <w:t>, mięso w puszkach/ryby) są zwolnione z kontroli granicznej i wydawania wspólnego zdrowotnego dokumentu wejścia (CHED)</w:t>
      </w:r>
      <w:r>
        <w:t>.</w:t>
      </w:r>
    </w:p>
    <w:p w:rsidR="00A73262" w:rsidRDefault="002E308E">
      <w:pPr>
        <w:pStyle w:val="Bodytext10"/>
        <w:jc w:val="both"/>
      </w:pPr>
      <w:r>
        <w:t>Ponadto, ze względu na brak dokumentu CHED, w tym konkretnym przypadku możliwe jest stosowanie oświadczenia ustnego w odniesieniu do takich środków spożywczych</w:t>
      </w:r>
      <w:hyperlink w:anchor="bookmark0" w:tooltip="Current Document">
        <w:r>
          <w:footnoteReference w:id="1"/>
        </w:r>
      </w:hyperlink>
      <w:r>
        <w:t>.</w:t>
      </w:r>
    </w:p>
    <w:p w:rsidR="00A73262" w:rsidRDefault="002E308E">
      <w:pPr>
        <w:pStyle w:val="Bodytext10"/>
        <w:jc w:val="both"/>
      </w:pPr>
      <w:r>
        <w:t xml:space="preserve">Ponadto </w:t>
      </w:r>
      <w:r>
        <w:rPr>
          <w:b/>
        </w:rPr>
        <w:t>osoby z</w:t>
      </w:r>
      <w:r w:rsidR="004C5E79">
        <w:rPr>
          <w:b/>
        </w:rPr>
        <w:t xml:space="preserve"> wielkiej Brytanii</w:t>
      </w:r>
      <w:r>
        <w:rPr>
          <w:b/>
        </w:rPr>
        <w:t xml:space="preserve">, które chcą udzielić pomocy humanitarnej uchodźcom ukraińskim, nie podlegają, w drodze </w:t>
      </w:r>
      <w:r w:rsidR="004C5E79">
        <w:rPr>
          <w:b/>
        </w:rPr>
        <w:t>wyjątku</w:t>
      </w:r>
      <w:r>
        <w:rPr>
          <w:b/>
        </w:rPr>
        <w:t>, ograniczeniom i progom ilościowym mającym zastosowanie do podróżnych</w:t>
      </w:r>
      <w:r>
        <w:t>. Można zatem zezwolić tym osobom prywatnym na transport produktów zawierających mleko lub mięso (</w:t>
      </w:r>
      <w:r w:rsidR="004C5E79">
        <w:t>kartony</w:t>
      </w:r>
      <w:r>
        <w:t xml:space="preserve"> mle</w:t>
      </w:r>
      <w:r w:rsidR="004C5E79">
        <w:t>ka</w:t>
      </w:r>
      <w:r>
        <w:t xml:space="preserve">, mięso w puszkach) lub produktów roślinnych bez kontroli w </w:t>
      </w:r>
      <w:r w:rsidR="004C5E79">
        <w:t>przejściu granicznym</w:t>
      </w:r>
      <w:r>
        <w:t>.</w:t>
      </w:r>
    </w:p>
    <w:p w:rsidR="00A73262" w:rsidRDefault="002E308E">
      <w:pPr>
        <w:pStyle w:val="Bodytext20"/>
        <w:jc w:val="both"/>
      </w:pPr>
      <w:r>
        <w:t>UWAGA: Szwajcarię uznaje się za państwo członkowskie z punktu widzenia kontroli SPS: towary ze Szwajcarii przewożone są bez kontroli sanitarnych i fitosanitarnych po ich wprowadzeniu do UE.</w:t>
      </w:r>
    </w:p>
    <w:p w:rsidR="00A73262" w:rsidRDefault="002E308E">
      <w:pPr>
        <w:pStyle w:val="Bodytext10"/>
        <w:jc w:val="both"/>
      </w:pPr>
      <w:r>
        <w:rPr>
          <w:u w:val="single"/>
        </w:rPr>
        <w:t>Szczególny przypadek produktów leczniczych, środków odurzających i substancji psychotropowych</w:t>
      </w:r>
      <w:r>
        <w:t>:</w:t>
      </w:r>
    </w:p>
    <w:p w:rsidR="00A73262" w:rsidRDefault="002E308E">
      <w:pPr>
        <w:pStyle w:val="Bodytext10"/>
        <w:jc w:val="both"/>
      </w:pPr>
      <w:r>
        <w:t xml:space="preserve">Produkty lecznicze </w:t>
      </w:r>
      <w:r w:rsidR="004C5E79">
        <w:t>odurzające</w:t>
      </w:r>
      <w:r>
        <w:t xml:space="preserve"> lub psychotropowe nie korzystają z żadnego </w:t>
      </w:r>
      <w:r w:rsidR="004C5E79">
        <w:t>wyjątku</w:t>
      </w:r>
      <w:r>
        <w:t xml:space="preserve"> przyznanego przez Międzynarodowy Organ Kontroli Środków Odurzających (INCB). W związku z tym</w:t>
      </w:r>
      <w:r w:rsidR="004C5E79">
        <w:t>,</w:t>
      </w:r>
      <w:r>
        <w:t xml:space="preserve"> w przypadku przywozu tych towarów z</w:t>
      </w:r>
      <w:r w:rsidR="004C5E79">
        <w:t xml:space="preserve"> Wlk. Brytanii</w:t>
      </w:r>
      <w:r>
        <w:t xml:space="preserve"> lub jakiegokolwiek innego państwa trzeciego do Francji</w:t>
      </w:r>
      <w:r w:rsidR="004C5E79">
        <w:t>,</w:t>
      </w:r>
      <w:r>
        <w:t xml:space="preserve"> nadal wymagane jest zezwolenie na przywóz.</w:t>
      </w:r>
    </w:p>
    <w:p w:rsidR="00A73262" w:rsidRDefault="002E308E">
      <w:pPr>
        <w:pStyle w:val="Bodytext10"/>
        <w:jc w:val="both"/>
      </w:pPr>
      <w:r>
        <w:t>W odniesieniu do produktów leczniczych nie</w:t>
      </w:r>
      <w:r w:rsidR="004C5E79">
        <w:t>odurzając</w:t>
      </w:r>
      <w:r>
        <w:t>ych lub psychotropowych art. R. 5121</w:t>
      </w:r>
      <w:r w:rsidR="004C5E79">
        <w:t>-</w:t>
      </w:r>
      <w:r>
        <w:t xml:space="preserve">108 kodeksu zdrowia publicznego (CPMP) stanowi, że „każdy produkt leczniczy, </w:t>
      </w:r>
      <w:r>
        <w:lastRenderedPageBreak/>
        <w:t>który nie posiada pozwolenia na dopuszczenie do obrotu, o którym mowa w art. L. 5121-8, lub pozwolenia na wcześniejszy dostęp [...], przed jego przywozem na obszar celny, jest przedmiotem pozwolenia na przywóz wydanego przez dyrektora generalnego Krajowej Agencji ds. Bezpieczeństwa Produktów Leczniczych i Produktów Zdrowotnych [...]”.</w:t>
      </w:r>
    </w:p>
    <w:p w:rsidR="00A73262" w:rsidRDefault="002E308E">
      <w:pPr>
        <w:pStyle w:val="Bodytext10"/>
        <w:spacing w:after="920"/>
        <w:jc w:val="both"/>
      </w:pPr>
      <w:r>
        <w:t>Zezwolenia wymagane przy przywozie nie mają zastosowania w przypadku tranzytu przez obszar celny lub tranzytu przez ten obszar w odniesieniu do produktów leczniczych niebędących środkami odurzającymi lub psychotropowymi (art. R. 5121–108 kodeksu zdrowia publicznego), środków odurzających (art. R. 5132-78 kodeksu zdrowia publicznego) oraz środków odurzających (art. R. 5132-92 kodeksu zdrowia publicznego).</w:t>
      </w:r>
    </w:p>
    <w:p w:rsidR="00A73262" w:rsidRDefault="002E308E">
      <w:pPr>
        <w:pStyle w:val="Heading210"/>
        <w:keepNext/>
        <w:keepLines/>
        <w:spacing w:after="260"/>
      </w:pPr>
      <w:bookmarkStart w:id="31" w:name="bookmark30"/>
      <w:bookmarkStart w:id="32" w:name="bookmark31"/>
      <w:bookmarkStart w:id="33" w:name="bookmark32"/>
      <w:r>
        <w:t xml:space="preserve">Kontakt </w:t>
      </w:r>
      <w:bookmarkEnd w:id="31"/>
      <w:bookmarkEnd w:id="32"/>
      <w:bookmarkEnd w:id="33"/>
    </w:p>
    <w:p w:rsidR="00A73262" w:rsidRDefault="002E308E">
      <w:pPr>
        <w:pStyle w:val="Heading310"/>
        <w:keepNext/>
        <w:keepLines/>
      </w:pPr>
      <w:bookmarkStart w:id="34" w:name="bookmark33"/>
      <w:bookmarkStart w:id="35" w:name="bookmark34"/>
      <w:bookmarkStart w:id="36" w:name="bookmark35"/>
      <w:r>
        <w:t>Dyrekcja Generalna ds. Ceł i Podatków Pośrednich</w:t>
      </w:r>
      <w:bookmarkEnd w:id="34"/>
      <w:bookmarkEnd w:id="35"/>
      <w:bookmarkEnd w:id="36"/>
    </w:p>
    <w:p w:rsidR="00A73262" w:rsidRDefault="002E308E">
      <w:pPr>
        <w:pStyle w:val="P68B1DB1-Style61"/>
        <w:spacing w:after="520"/>
      </w:pPr>
      <w:r>
        <w:t>Urząd ds. Polityki Celnej (COMINT1)</w:t>
      </w:r>
    </w:p>
    <w:p w:rsidR="00A73262" w:rsidRDefault="002E308E">
      <w:pPr>
        <w:pStyle w:val="P68B1DB1-Style61"/>
        <w:spacing w:after="0"/>
      </w:pPr>
      <w:r>
        <w:t>Sekcja dotycząca procesu przywozu</w:t>
      </w:r>
    </w:p>
    <w:p w:rsidR="00A73262" w:rsidRDefault="002E308E">
      <w:pPr>
        <w:pStyle w:val="Bodytext10"/>
        <w:spacing w:after="0"/>
      </w:pPr>
      <w:r>
        <w:t>11, rue des Two Communes</w:t>
      </w:r>
    </w:p>
    <w:p w:rsidR="00A73262" w:rsidRPr="001252C9" w:rsidRDefault="002E308E">
      <w:pPr>
        <w:pStyle w:val="Bodytext10"/>
        <w:spacing w:after="0"/>
        <w:rPr>
          <w:lang w:val="en-GB"/>
        </w:rPr>
      </w:pPr>
      <w:r w:rsidRPr="001252C9">
        <w:rPr>
          <w:lang w:val="en-GB"/>
        </w:rPr>
        <w:t>93 558 EUR – FRANCJA</w:t>
      </w:r>
    </w:p>
    <w:p w:rsidR="00A73262" w:rsidRPr="001252C9" w:rsidRDefault="002E308E">
      <w:pPr>
        <w:pStyle w:val="Bodytext10"/>
        <w:spacing w:after="260"/>
        <w:rPr>
          <w:lang w:val="en-GB"/>
        </w:rPr>
      </w:pPr>
      <w:r w:rsidRPr="001252C9">
        <w:rPr>
          <w:lang w:val="en-GB"/>
        </w:rPr>
        <w:t>e-mail:</w:t>
      </w:r>
      <w:hyperlink r:id="rId10" w:history="1">
        <w:r w:rsidRPr="001252C9">
          <w:rPr>
            <w:lang w:val="en-GB"/>
          </w:rPr>
          <w:t xml:space="preserve"> </w:t>
        </w:r>
        <w:r w:rsidRPr="001252C9">
          <w:rPr>
            <w:color w:val="000080"/>
            <w:u w:val="single"/>
            <w:lang w:val="en-GB"/>
          </w:rPr>
          <w:t>dg-comint1-delta@douane.finances.gouv.fr</w:t>
        </w:r>
      </w:hyperlink>
    </w:p>
    <w:p w:rsidR="00A73262" w:rsidRPr="001252C9" w:rsidRDefault="002E308E">
      <w:pPr>
        <w:pStyle w:val="P68B1DB1-Style61"/>
        <w:spacing w:after="0"/>
        <w:rPr>
          <w:lang w:val="en-GB"/>
        </w:rPr>
      </w:pPr>
      <w:r w:rsidRPr="001252C9">
        <w:rPr>
          <w:lang w:val="en-GB"/>
        </w:rPr>
        <w:t>Komórka tranzytowa</w:t>
      </w:r>
    </w:p>
    <w:p w:rsidR="00A73262" w:rsidRPr="001252C9" w:rsidRDefault="002E308E">
      <w:pPr>
        <w:pStyle w:val="Bodytext10"/>
        <w:spacing w:after="0"/>
        <w:rPr>
          <w:lang w:val="en-GB"/>
        </w:rPr>
      </w:pPr>
      <w:r w:rsidRPr="001252C9">
        <w:rPr>
          <w:lang w:val="en-GB"/>
        </w:rPr>
        <w:t>11, rue des Two Communes</w:t>
      </w:r>
    </w:p>
    <w:p w:rsidR="00A73262" w:rsidRPr="001252C9" w:rsidRDefault="002E308E">
      <w:pPr>
        <w:pStyle w:val="Bodytext10"/>
        <w:spacing w:after="0"/>
        <w:rPr>
          <w:lang w:val="en-GB"/>
        </w:rPr>
      </w:pPr>
      <w:r w:rsidRPr="001252C9">
        <w:rPr>
          <w:lang w:val="en-GB"/>
        </w:rPr>
        <w:t>93 558 EUR – FRANCJA</w:t>
      </w:r>
    </w:p>
    <w:p w:rsidR="00A73262" w:rsidRPr="001252C9" w:rsidRDefault="002E308E">
      <w:pPr>
        <w:pStyle w:val="Bodytext10"/>
        <w:spacing w:after="260"/>
        <w:rPr>
          <w:lang w:val="en-GB"/>
        </w:rPr>
      </w:pPr>
      <w:r w:rsidRPr="001252C9">
        <w:rPr>
          <w:lang w:val="en-GB"/>
        </w:rPr>
        <w:t>e-mail:</w:t>
      </w:r>
      <w:hyperlink r:id="rId11" w:history="1">
        <w:r w:rsidRPr="001252C9">
          <w:rPr>
            <w:lang w:val="en-GB"/>
          </w:rPr>
          <w:t xml:space="preserve"> </w:t>
        </w:r>
        <w:r w:rsidRPr="001252C9">
          <w:rPr>
            <w:color w:val="000080"/>
            <w:u w:val="single"/>
            <w:lang w:val="en-GB"/>
          </w:rPr>
          <w:t>dg-comint1-transit@douane.finances.gouv.fr</w:t>
        </w:r>
      </w:hyperlink>
    </w:p>
    <w:p w:rsidR="00A73262" w:rsidRDefault="002E308E">
      <w:pPr>
        <w:pStyle w:val="Heading310"/>
        <w:keepNext/>
        <w:keepLines/>
      </w:pPr>
      <w:bookmarkStart w:id="37" w:name="bookmark36"/>
      <w:bookmarkStart w:id="38" w:name="bookmark37"/>
      <w:bookmarkStart w:id="39" w:name="bookmark38"/>
      <w:r>
        <w:t>Bieguny działalności gospodarczej</w:t>
      </w:r>
      <w:bookmarkEnd w:id="37"/>
      <w:bookmarkEnd w:id="38"/>
      <w:bookmarkEnd w:id="39"/>
    </w:p>
    <w:p w:rsidR="00A73262" w:rsidRDefault="00EE3750">
      <w:pPr>
        <w:pStyle w:val="Bodytext10"/>
        <w:spacing w:after="260"/>
      </w:pPr>
      <w:hyperlink r:id="rId12" w:history="1">
        <w:r w:rsidR="002E308E">
          <w:rPr>
            <w:color w:val="000080"/>
            <w:u w:val="single"/>
          </w:rPr>
          <w:t>https://www.douane.gouv.fr/les-cellules-conseil-aux-entreprises</w:t>
        </w:r>
      </w:hyperlink>
    </w:p>
    <w:p w:rsidR="00A73262" w:rsidRDefault="002E308E">
      <w:pPr>
        <w:pStyle w:val="Heading210"/>
        <w:keepNext/>
        <w:keepLines/>
        <w:spacing w:after="260"/>
      </w:pPr>
      <w:bookmarkStart w:id="40" w:name="bookmark39"/>
      <w:bookmarkStart w:id="41" w:name="bookmark40"/>
      <w:bookmarkStart w:id="42" w:name="bookmark41"/>
      <w:r>
        <w:t>Przydatne linki</w:t>
      </w:r>
      <w:bookmarkEnd w:id="40"/>
      <w:bookmarkEnd w:id="41"/>
      <w:bookmarkEnd w:id="42"/>
    </w:p>
    <w:p w:rsidR="00A73262" w:rsidRDefault="004C5E79" w:rsidP="004C5E79">
      <w:pPr>
        <w:pStyle w:val="Bodytext10"/>
        <w:spacing w:after="260"/>
        <w:jc w:val="both"/>
      </w:pPr>
      <w:hyperlink r:id="rId13" w:history="1">
        <w:r w:rsidRPr="00C94400">
          <w:rPr>
            <w:rStyle w:val="Hipercze"/>
          </w:rPr>
          <w:t>www.douane.gouv.fr/dossier/brexit-la-douane-vous-accompagne</w:t>
        </w:r>
      </w:hyperlink>
      <w:r>
        <w:t xml:space="preserve"> </w:t>
      </w:r>
    </w:p>
    <w:sectPr w:rsidR="00A73262" w:rsidSect="00527CD2">
      <w:headerReference w:type="default" r:id="rId14"/>
      <w:footnotePr>
        <w:numFmt w:val="upperRoman"/>
      </w:footnotePr>
      <w:pgSz w:w="11900" w:h="16840"/>
      <w:pgMar w:top="1418" w:right="1418" w:bottom="1418" w:left="1418" w:header="692" w:footer="471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8E" w:rsidRDefault="002E308E">
      <w:r>
        <w:separator/>
      </w:r>
    </w:p>
  </w:endnote>
  <w:endnote w:type="continuationSeparator" w:id="0">
    <w:p w:rsidR="002E308E" w:rsidRDefault="002E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8E" w:rsidRDefault="002E308E">
      <w:r>
        <w:separator/>
      </w:r>
    </w:p>
  </w:footnote>
  <w:footnote w:type="continuationSeparator" w:id="0">
    <w:p w:rsidR="002E308E" w:rsidRDefault="002E308E">
      <w:r>
        <w:continuationSeparator/>
      </w:r>
    </w:p>
  </w:footnote>
  <w:footnote w:id="1">
    <w:p w:rsidR="00A73262" w:rsidRDefault="002E308E" w:rsidP="004C5E79">
      <w:pPr>
        <w:pStyle w:val="Footnote10"/>
        <w:ind w:left="0" w:firstLine="0"/>
      </w:pPr>
      <w:bookmarkStart w:id="30" w:name="bookmark0"/>
      <w:r>
        <w:footnoteRef/>
      </w:r>
      <w:r>
        <w:t>Towary objęte zakazem lub ograniczeniem są co do zasady wyłączone ze stosowania zgłoszenia ustnego (zob. art. 142 RD).</w:t>
      </w:r>
      <w:bookmarkEnd w:id="3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C9" w:rsidRDefault="004C5E79" w:rsidP="004C5E79">
    <w:pPr>
      <w:pStyle w:val="Nagwek"/>
      <w:tabs>
        <w:tab w:val="clear" w:pos="9072"/>
        <w:tab w:val="right" w:pos="9064"/>
      </w:tabs>
      <w:ind w:left="-284"/>
    </w:pPr>
    <w:r>
      <w:t>Dyrekcja Generalna ds. Ceł i Podatków Pośrednich</w:t>
    </w:r>
    <w:r w:rsidR="006E5319">
      <w:t xml:space="preserve"> – instrukcja </w:t>
    </w:r>
    <w:r>
      <w:t xml:space="preserve"> -  h</w:t>
    </w:r>
    <w:r w:rsidR="006E5319" w:rsidRPr="006E5319">
      <w:t>ttps://www.douane.gouv.fr/actualites/crise-ukrainienne-impact-sur-les-activites-economiques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138D"/>
    <w:multiLevelType w:val="multilevel"/>
    <w:tmpl w:val="866C5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794647"/>
    <w:multiLevelType w:val="multilevel"/>
    <w:tmpl w:val="B8BC83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F01F02"/>
    <w:multiLevelType w:val="multilevel"/>
    <w:tmpl w:val="AF2CD27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62"/>
    <w:rsid w:val="001252C9"/>
    <w:rsid w:val="002E308E"/>
    <w:rsid w:val="004C5E79"/>
    <w:rsid w:val="00527CD2"/>
    <w:rsid w:val="006E5319"/>
    <w:rsid w:val="0076101B"/>
    <w:rsid w:val="008B05C6"/>
    <w:rsid w:val="008C2A36"/>
    <w:rsid w:val="00A73262"/>
    <w:rsid w:val="00D10185"/>
    <w:rsid w:val="00E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358F4-A5DB-494E-91CD-1AFEF6F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i w:val="0"/>
      <w:smallCaps w:val="0"/>
      <w:strike w:val="0"/>
      <w:sz w:val="18"/>
      <w:u w:val="none"/>
      <w:shd w:val="clear" w:color="auto" w:fill="auto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i w:val="0"/>
      <w:smallCaps w:val="0"/>
      <w:strike w:val="0"/>
      <w:sz w:val="36"/>
      <w:u w:val="none"/>
      <w:shd w:val="clear" w:color="auto" w:fill="auto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i w:val="0"/>
      <w:smallCaps w:val="0"/>
      <w:strike w:val="0"/>
      <w:u w:val="none"/>
      <w:shd w:val="clear" w:color="auto" w:fill="auto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/>
      <w:i w:val="0"/>
      <w:smallCaps w:val="0"/>
      <w:strike w:val="0"/>
      <w:sz w:val="32"/>
      <w:u w:val="none"/>
      <w:shd w:val="clear" w:color="auto" w:fill="auto"/>
    </w:rPr>
  </w:style>
  <w:style w:type="character" w:customStyle="1" w:styleId="Heading31">
    <w:name w:val="Heading #3|1_"/>
    <w:basedOn w:val="Domylnaczcionkaakapitu"/>
    <w:link w:val="Heading310"/>
    <w:rPr>
      <w:rFonts w:ascii="Arial" w:eastAsia="Arial" w:hAnsi="Arial" w:cs="Arial"/>
      <w:b/>
      <w:i w:val="0"/>
      <w:smallCaps w:val="0"/>
      <w:strike w:val="0"/>
      <w:sz w:val="28"/>
      <w:u w:val="none"/>
      <w:shd w:val="clear" w:color="auto" w:fill="auto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paragraph" w:customStyle="1" w:styleId="Footnote10">
    <w:name w:val="Footnote|1"/>
    <w:basedOn w:val="Normalny"/>
    <w:link w:val="Footnote1"/>
    <w:pPr>
      <w:ind w:left="460" w:hanging="460"/>
    </w:pPr>
    <w:rPr>
      <w:rFonts w:ascii="Arial" w:eastAsia="Arial" w:hAnsi="Arial" w:cs="Arial"/>
      <w:sz w:val="18"/>
    </w:rPr>
  </w:style>
  <w:style w:type="paragraph" w:customStyle="1" w:styleId="Heading110">
    <w:name w:val="Heading #1|1"/>
    <w:basedOn w:val="Normalny"/>
    <w:link w:val="Heading11"/>
    <w:pPr>
      <w:spacing w:after="680"/>
      <w:jc w:val="center"/>
      <w:outlineLvl w:val="0"/>
    </w:pPr>
    <w:rPr>
      <w:rFonts w:ascii="Arial" w:eastAsia="Arial" w:hAnsi="Arial" w:cs="Arial"/>
      <w:b/>
      <w:sz w:val="36"/>
    </w:rPr>
  </w:style>
  <w:style w:type="paragraph" w:customStyle="1" w:styleId="Bodytext10">
    <w:name w:val="Body text|1"/>
    <w:basedOn w:val="Normalny"/>
    <w:link w:val="Bodytext1"/>
    <w:pPr>
      <w:spacing w:after="240"/>
    </w:pPr>
    <w:rPr>
      <w:rFonts w:ascii="Arial" w:eastAsia="Arial" w:hAnsi="Arial" w:cs="Arial"/>
    </w:rPr>
  </w:style>
  <w:style w:type="paragraph" w:customStyle="1" w:styleId="Heading210">
    <w:name w:val="Heading #2|1"/>
    <w:basedOn w:val="Normalny"/>
    <w:link w:val="Heading21"/>
    <w:pPr>
      <w:spacing w:after="390"/>
      <w:outlineLvl w:val="1"/>
    </w:pPr>
    <w:rPr>
      <w:rFonts w:ascii="Arial" w:eastAsia="Arial" w:hAnsi="Arial" w:cs="Arial"/>
      <w:b/>
      <w:sz w:val="32"/>
    </w:rPr>
  </w:style>
  <w:style w:type="paragraph" w:customStyle="1" w:styleId="Heading310">
    <w:name w:val="Heading #3|1"/>
    <w:basedOn w:val="Normalny"/>
    <w:link w:val="Heading31"/>
    <w:pPr>
      <w:spacing w:after="260"/>
      <w:outlineLvl w:val="2"/>
    </w:pPr>
    <w:rPr>
      <w:rFonts w:ascii="Arial" w:eastAsia="Arial" w:hAnsi="Arial" w:cs="Arial"/>
      <w:b/>
      <w:sz w:val="28"/>
    </w:rPr>
  </w:style>
  <w:style w:type="paragraph" w:customStyle="1" w:styleId="Bodytext20">
    <w:name w:val="Body text|2"/>
    <w:basedOn w:val="Normalny"/>
    <w:link w:val="Bodytext2"/>
    <w:pPr>
      <w:spacing w:after="240" w:line="264" w:lineRule="auto"/>
    </w:pPr>
    <w:rPr>
      <w:rFonts w:ascii="Arial" w:eastAsia="Arial" w:hAnsi="Arial" w:cs="Arial"/>
      <w:sz w:val="20"/>
    </w:rPr>
  </w:style>
  <w:style w:type="paragraph" w:customStyle="1" w:styleId="P68B1DB1-Style61">
    <w:name w:val="P68B1DB1-Style61"/>
    <w:basedOn w:val="Bodytext10"/>
    <w:rPr>
      <w:b/>
    </w:rPr>
  </w:style>
  <w:style w:type="paragraph" w:customStyle="1" w:styleId="P68B1DB1-Style62">
    <w:name w:val="P68B1DB1-Style62"/>
    <w:basedOn w:val="Bodytext10"/>
    <w:rPr>
      <w:color w:val="231F20"/>
    </w:rPr>
  </w:style>
  <w:style w:type="paragraph" w:styleId="Nagwek">
    <w:name w:val="header"/>
    <w:basedOn w:val="Normalny"/>
    <w:link w:val="NagwekZnak"/>
    <w:uiPriority w:val="99"/>
    <w:unhideWhenUsed/>
    <w:rsid w:val="00125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2C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25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2C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252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5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ane.gouv.fr/fiche/restriction-de-circulation-ou-interdiction-de-certaines-marchandises" TargetMode="External"/><Relationship Id="rId13" Type="http://schemas.openxmlformats.org/officeDocument/2006/relationships/hyperlink" Target="http://www.douane.gouv.fr/dossier/brexit-la-douane-vous-accompag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uane.gouv.fr/fiche/restriction-de-circulation-ou-interdiction-de-certaines-marchandises" TargetMode="External"/><Relationship Id="rId12" Type="http://schemas.openxmlformats.org/officeDocument/2006/relationships/hyperlink" Target="https://www.douane.gouv.fr/les-cellules-conseil-aux-entrepris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g-comint1-delta@douane.finances.gouv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g-comint1-delta@douane.finances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ane.gouv.fr/sites/default/files/2021-04/16/Brexit-Comment-reussir-son-importation-grace-a-la-frontiere-intelligent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7172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2022-03-23T09:35:00Z</dcterms:created>
  <dcterms:modified xsi:type="dcterms:W3CDTF">2022-03-23T09:35:00Z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MF\AKFM;Filipowicz-Mercer Kinga</vt:lpwstr>
  </property>
  <property fmtid="{D5CDD505-2E9C-101B-9397-08002B2CF9AE}" pid="4" name="MFClassificationDate">
    <vt:lpwstr>2022-03-23T10:34:47.6366603+01:00</vt:lpwstr>
  </property>
  <property fmtid="{D5CDD505-2E9C-101B-9397-08002B2CF9AE}" pid="5" name="MFClassifiedBySID">
    <vt:lpwstr>MF\S-1-5-21-1525952054-1005573771-2909822258-8358</vt:lpwstr>
  </property>
  <property fmtid="{D5CDD505-2E9C-101B-9397-08002B2CF9AE}" pid="6" name="MFGRNItemId">
    <vt:lpwstr>GRN-ae261c8b-da9b-4c00-a815-e5a5d6a731f9</vt:lpwstr>
  </property>
  <property fmtid="{D5CDD505-2E9C-101B-9397-08002B2CF9AE}" pid="7" name="MFHash">
    <vt:lpwstr>Lc4Ok2xPJqTdTwnYRYTBlxoT2F32inc26nq2/ojG39o=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