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A8" w:rsidRDefault="009F47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F47A8" w:rsidRDefault="0016077E" w:rsidP="00CD6EDC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Wytyczne dotyczące umowy o handlu i współpracy między UE a Zjednoczonym Królestwem</w:t>
      </w:r>
    </w:p>
    <w:p w:rsidR="009F47A8" w:rsidRDefault="009F47A8" w:rsidP="00CD6EDC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/>
          <w:b/>
          <w:sz w:val="36"/>
          <w:szCs w:val="36"/>
        </w:rPr>
      </w:pPr>
    </w:p>
    <w:p w:rsidR="009F47A8" w:rsidRDefault="0016077E" w:rsidP="00CD6EDC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Okres przejściowy na sporządzenie oświadcze</w:t>
      </w:r>
      <w:r w:rsidR="00774A32">
        <w:rPr>
          <w:rFonts w:asciiTheme="majorHAnsi" w:hAnsiTheme="majorHAnsi"/>
          <w:b/>
          <w:sz w:val="32"/>
          <w:szCs w:val="32"/>
        </w:rPr>
        <w:t>ń</w:t>
      </w:r>
      <w:r>
        <w:rPr>
          <w:rFonts w:asciiTheme="majorHAnsi" w:hAnsiTheme="majorHAnsi"/>
          <w:b/>
          <w:sz w:val="32"/>
          <w:szCs w:val="32"/>
        </w:rPr>
        <w:t xml:space="preserve"> o pochodzeniu na podstawie deklaracji dostawcy, które mają być dostarczone przez dostawcę w późniejszym terminie</w:t>
      </w:r>
    </w:p>
    <w:p w:rsidR="009F47A8" w:rsidRDefault="009F47A8" w:rsidP="00CD6EDC">
      <w:pPr>
        <w:pStyle w:val="paragraph"/>
        <w:spacing w:before="120" w:beforeAutospacing="0" w:after="120" w:afterAutospacing="0" w:line="276" w:lineRule="auto"/>
        <w:textAlignment w:val="baseline"/>
        <w:rPr>
          <w:rStyle w:val="normaltextrun"/>
        </w:rPr>
      </w:pPr>
    </w:p>
    <w:p w:rsidR="009F47A8" w:rsidRDefault="0016077E" w:rsidP="00CD6EDC">
      <w:pPr>
        <w:pStyle w:val="paragraph"/>
        <w:spacing w:before="120" w:beforeAutospacing="0" w:after="120" w:afterAutospacing="0" w:line="276" w:lineRule="auto"/>
        <w:textAlignment w:val="baseline"/>
        <w:rPr>
          <w:rStyle w:val="normaltextrun"/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1.Podstawa prawna</w:t>
      </w:r>
    </w:p>
    <w:p w:rsidR="009F47A8" w:rsidRDefault="0016077E" w:rsidP="00CD6EDC">
      <w:pPr>
        <w:pStyle w:val="paragraph"/>
        <w:numPr>
          <w:ilvl w:val="0"/>
          <w:numId w:val="8"/>
        </w:numPr>
        <w:spacing w:before="120" w:beforeAutospacing="0" w:after="120" w:afterAutospacing="0" w:line="276" w:lineRule="auto"/>
        <w:jc w:val="both"/>
        <w:textAlignment w:val="baseline"/>
        <w:rPr>
          <w:rStyle w:val="normaltextrun"/>
          <w:b/>
        </w:rPr>
      </w:pPr>
      <w:r>
        <w:rPr>
          <w:b/>
        </w:rPr>
        <w:t xml:space="preserve">Rozporządzenie wykonawcze Komisji (UE) 2020/2254 z dnia 29 grudnia 2020 r. w sprawie sporządzania oświadczeń o pochodzeniu na podstawie deklaracji dostawcy </w:t>
      </w:r>
      <w:r w:rsidR="00AC55BE">
        <w:rPr>
          <w:b/>
        </w:rPr>
        <w:t>do celów</w:t>
      </w:r>
      <w:r>
        <w:rPr>
          <w:b/>
        </w:rPr>
        <w:t xml:space="preserve"> </w:t>
      </w:r>
      <w:r w:rsidR="00AC55BE">
        <w:rPr>
          <w:b/>
        </w:rPr>
        <w:t xml:space="preserve">oreferencyjnego </w:t>
      </w:r>
      <w:r>
        <w:rPr>
          <w:b/>
        </w:rPr>
        <w:t xml:space="preserve">wywozu do Zjednoczonego Królestwa </w:t>
      </w:r>
      <w:r w:rsidR="00AC55BE">
        <w:rPr>
          <w:b/>
        </w:rPr>
        <w:t>podczas</w:t>
      </w:r>
      <w:r>
        <w:rPr>
          <w:b/>
        </w:rPr>
        <w:t xml:space="preserve"> okres</w:t>
      </w:r>
      <w:r w:rsidR="00AC55BE">
        <w:rPr>
          <w:b/>
        </w:rPr>
        <w:t>u</w:t>
      </w:r>
      <w:r>
        <w:rPr>
          <w:b/>
        </w:rPr>
        <w:t xml:space="preserve"> przejściow</w:t>
      </w:r>
      <w:r w:rsidR="00AC55BE">
        <w:rPr>
          <w:b/>
        </w:rPr>
        <w:t>ego</w:t>
      </w:r>
    </w:p>
    <w:p w:rsidR="009F47A8" w:rsidRDefault="0016077E" w:rsidP="00CD6EDC">
      <w:pPr>
        <w:pStyle w:val="paragraph"/>
        <w:spacing w:before="120" w:beforeAutospacing="0" w:after="120" w:afterAutospacing="0" w:line="276" w:lineRule="auto"/>
        <w:ind w:left="720"/>
        <w:textAlignment w:val="baseline"/>
        <w:rPr>
          <w:b/>
        </w:rPr>
      </w:pPr>
      <w:r>
        <w:rPr>
          <w:b/>
        </w:rPr>
        <w:t>Artykuł 1</w:t>
      </w:r>
    </w:p>
    <w:p w:rsidR="00AC55BE" w:rsidRDefault="0016077E" w:rsidP="00CD6EDC">
      <w:pPr>
        <w:pStyle w:val="paragraph"/>
        <w:spacing w:before="120" w:beforeAutospacing="0" w:after="120" w:afterAutospacing="0" w:line="276" w:lineRule="auto"/>
        <w:ind w:left="720"/>
        <w:jc w:val="both"/>
        <w:textAlignment w:val="baseline"/>
      </w:pPr>
      <w:r>
        <w:t>Niezależnie od art. 61 i 62 rozporządzenia wykonawczego (UE) 2015/2447, do celów stosowania Umowy o handlu i współpracy między Unią Europejską i Europejską Wspólnotą Energii Atomowej, z jednej strony, a Zjednoczonym Królestwem Wielkiej Brytanii i Irlandii Północnej, z drugiej strony, eksport</w:t>
      </w:r>
      <w:r w:rsidR="00860F7F">
        <w:t>er może do dnia 31 grudnia 2021 </w:t>
      </w:r>
      <w:r>
        <w:t xml:space="preserve">r. sporządzać oświadczenia o pochodzeniu </w:t>
      </w:r>
      <w:r w:rsidR="00AC55BE">
        <w:t>do celów</w:t>
      </w:r>
      <w:r>
        <w:t xml:space="preserve"> wywozu do Zjednoczonego Królestwa na podstawie deklaracji dostawcy, które </w:t>
      </w:r>
      <w:r w:rsidR="00AC55BE">
        <w:t>dostawca może przekazać wpóźniejszym terminie</w:t>
      </w:r>
      <w:r>
        <w:t>, pod warun</w:t>
      </w:r>
      <w:r w:rsidR="00860F7F">
        <w:t xml:space="preserve">kiem że </w:t>
      </w:r>
      <w:r w:rsidR="00AC55BE">
        <w:t xml:space="preserve">deklaracje dostawcy znajdą się w posiadaniu eksportera </w:t>
      </w:r>
      <w:r w:rsidR="00860F7F">
        <w:t>do dnia 1 stycznia 2022 </w:t>
      </w:r>
      <w:r>
        <w:t>r.</w:t>
      </w:r>
    </w:p>
    <w:p w:rsidR="009F47A8" w:rsidRDefault="0016077E" w:rsidP="00CD6EDC">
      <w:pPr>
        <w:pStyle w:val="paragraph"/>
        <w:spacing w:before="120" w:beforeAutospacing="0" w:after="120" w:afterAutospacing="0" w:line="276" w:lineRule="auto"/>
        <w:ind w:left="720"/>
        <w:jc w:val="both"/>
        <w:textAlignment w:val="baseline"/>
        <w:rPr>
          <w:rStyle w:val="normaltextrun"/>
        </w:rPr>
      </w:pPr>
      <w:r>
        <w:t xml:space="preserve">Jeżeli </w:t>
      </w:r>
      <w:r w:rsidR="00AC55BE">
        <w:t xml:space="preserve">deklaracje dostawcy </w:t>
      </w:r>
      <w:r>
        <w:t xml:space="preserve">nie </w:t>
      </w:r>
      <w:r w:rsidR="00AC55BE">
        <w:t xml:space="preserve">znajdą się w </w:t>
      </w:r>
      <w:r>
        <w:t>posiada</w:t>
      </w:r>
      <w:r w:rsidR="00AC55BE">
        <w:t>niu eksportera</w:t>
      </w:r>
      <w:r>
        <w:t xml:space="preserve"> do tego dnia, </w:t>
      </w:r>
      <w:r w:rsidR="00AC55BE">
        <w:t>eksporter powiadamia</w:t>
      </w:r>
      <w:r>
        <w:t xml:space="preserve"> o tym importera najpóźniej w dniu 31 stycznia 2022 r.</w:t>
      </w:r>
    </w:p>
    <w:p w:rsidR="009F47A8" w:rsidRDefault="0016077E" w:rsidP="00CD6EDC">
      <w:pPr>
        <w:pStyle w:val="paragraph"/>
        <w:numPr>
          <w:ilvl w:val="0"/>
          <w:numId w:val="8"/>
        </w:numPr>
        <w:spacing w:before="120" w:beforeAutospacing="0" w:after="120" w:afterAutospacing="0" w:line="276" w:lineRule="auto"/>
        <w:jc w:val="both"/>
        <w:textAlignment w:val="baseline"/>
        <w:rPr>
          <w:b/>
        </w:rPr>
      </w:pPr>
      <w:bookmarkStart w:id="1" w:name="_Toc58163424"/>
      <w:r>
        <w:rPr>
          <w:b/>
        </w:rPr>
        <w:t>Umowa o handlu i współpracy między UE a Zjednoczonym Królestwem</w:t>
      </w:r>
      <w:r w:rsidR="00774A32">
        <w:rPr>
          <w:b/>
        </w:rPr>
        <w:t xml:space="preserve"> (TCA)</w:t>
      </w:r>
    </w:p>
    <w:p w:rsidR="009F47A8" w:rsidRDefault="0016077E" w:rsidP="00CD6EDC">
      <w:pPr>
        <w:pStyle w:val="paragraph"/>
        <w:spacing w:before="120" w:beforeAutospacing="0" w:after="120" w:afterAutospacing="0" w:line="276" w:lineRule="auto"/>
        <w:ind w:left="720"/>
        <w:jc w:val="both"/>
        <w:textAlignment w:val="baseline"/>
        <w:rPr>
          <w:b/>
        </w:rPr>
      </w:pPr>
      <w:r>
        <w:rPr>
          <w:b/>
        </w:rPr>
        <w:t xml:space="preserve">Artykuł </w:t>
      </w:r>
      <w:r w:rsidR="00774A32">
        <w:rPr>
          <w:b/>
        </w:rPr>
        <w:t>56</w:t>
      </w:r>
      <w:r>
        <w:rPr>
          <w:b/>
        </w:rPr>
        <w:t>:Oświadczenie o pochodzeniu</w:t>
      </w:r>
    </w:p>
    <w:p w:rsidR="009F47A8" w:rsidRDefault="0016077E" w:rsidP="00CD6EDC">
      <w:pPr>
        <w:pStyle w:val="paragraph"/>
        <w:numPr>
          <w:ilvl w:val="0"/>
          <w:numId w:val="10"/>
        </w:numPr>
        <w:spacing w:before="120" w:beforeAutospacing="0" w:after="120" w:afterAutospacing="0" w:line="276" w:lineRule="auto"/>
        <w:jc w:val="both"/>
        <w:textAlignment w:val="baseline"/>
      </w:pPr>
      <w:r>
        <w:t xml:space="preserve">Eksporter produktu sporządza oświadczenie o pochodzeniu na podstawie informacji </w:t>
      </w:r>
      <w:r w:rsidR="00774A32">
        <w:t>świadczących o tym</w:t>
      </w:r>
      <w:r>
        <w:t xml:space="preserve">, że produkt jest </w:t>
      </w:r>
      <w:r w:rsidR="00774A32">
        <w:t xml:space="preserve">produktem </w:t>
      </w:r>
      <w:r>
        <w:t>pochodzący</w:t>
      </w:r>
      <w:r w:rsidR="00774A32">
        <w:t>m</w:t>
      </w:r>
      <w:r>
        <w:t>, w tym informacji na temat statusu pochodzenia materiałów użytych do wytworzenia produktu.</w:t>
      </w:r>
      <w:r w:rsidR="00860F7F">
        <w:t xml:space="preserve"> </w:t>
      </w:r>
      <w:r>
        <w:t xml:space="preserve">Eksporter odpowiedzialny </w:t>
      </w:r>
      <w:r w:rsidR="00774A32">
        <w:t xml:space="preserve">jest </w:t>
      </w:r>
      <w:r>
        <w:t xml:space="preserve">za poprawność oświadczenia o pochodzeniu i </w:t>
      </w:r>
      <w:r w:rsidR="00774A32">
        <w:t>przekazywanych</w:t>
      </w:r>
      <w:r>
        <w:t xml:space="preserve"> informacji.</w:t>
      </w:r>
    </w:p>
    <w:p w:rsidR="009F47A8" w:rsidRDefault="0016077E" w:rsidP="00CD6EDC">
      <w:pPr>
        <w:pStyle w:val="paragraph"/>
        <w:spacing w:before="120" w:beforeAutospacing="0" w:after="120" w:afterAutospacing="0" w:line="276" w:lineRule="auto"/>
        <w:ind w:left="720"/>
        <w:jc w:val="both"/>
        <w:textAlignment w:val="baseline"/>
        <w:rPr>
          <w:b/>
        </w:rPr>
      </w:pPr>
      <w:r>
        <w:rPr>
          <w:b/>
        </w:rPr>
        <w:t xml:space="preserve">Artykuł </w:t>
      </w:r>
      <w:r w:rsidR="00774A32">
        <w:rPr>
          <w:b/>
        </w:rPr>
        <w:t>63</w:t>
      </w:r>
      <w:r>
        <w:rPr>
          <w:b/>
        </w:rPr>
        <w:t>:</w:t>
      </w:r>
      <w:r w:rsidR="00860F7F">
        <w:rPr>
          <w:b/>
        </w:rPr>
        <w:t xml:space="preserve"> </w:t>
      </w:r>
      <w:r>
        <w:rPr>
          <w:b/>
        </w:rPr>
        <w:t>Odmowa preferencyjnego traktowania taryfowego</w:t>
      </w:r>
      <w:bookmarkEnd w:id="1"/>
    </w:p>
    <w:p w:rsidR="009F47A8" w:rsidRDefault="0016077E" w:rsidP="00CD6EDC">
      <w:pPr>
        <w:numPr>
          <w:ilvl w:val="0"/>
          <w:numId w:val="6"/>
        </w:numPr>
        <w:spacing w:before="120" w:after="12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uszczerbku dla ust. 3, organ celny Strony dokonującej przywozu może odmówić preferencyjnego</w:t>
      </w:r>
      <w:r w:rsidR="00860F7F">
        <w:rPr>
          <w:rFonts w:ascii="Times New Roman" w:hAnsi="Times New Roman" w:cs="Times New Roman"/>
          <w:sz w:val="24"/>
          <w:szCs w:val="24"/>
        </w:rPr>
        <w:t xml:space="preserve"> traktowania taryfowego, jeżeli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7A8" w:rsidRDefault="0016077E" w:rsidP="00CD6EDC">
      <w:pPr>
        <w:spacing w:before="120" w:after="12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  <w:t>w terminie 10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774A32">
        <w:rPr>
          <w:rFonts w:ascii="Times New Roman" w:hAnsi="Times New Roman" w:cs="Times New Roman"/>
          <w:sz w:val="24"/>
          <w:szCs w:val="24"/>
        </w:rPr>
        <w:t>po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A32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 xml:space="preserve">wniosku o udzielenie informacji zgodnie z art. </w:t>
      </w:r>
      <w:r w:rsidR="00774A3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ust. 2:</w:t>
      </w:r>
    </w:p>
    <w:p w:rsidR="009F47A8" w:rsidRDefault="00774A32" w:rsidP="00CD6EDC">
      <w:pPr>
        <w:spacing w:before="120" w:after="120"/>
        <w:ind w:left="141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16077E">
        <w:rPr>
          <w:rFonts w:ascii="Times New Roman" w:hAnsi="Times New Roman" w:cs="Times New Roman"/>
          <w:sz w:val="24"/>
          <w:szCs w:val="24"/>
        </w:rPr>
        <w:t xml:space="preserve">organ celny Strony </w:t>
      </w:r>
      <w:r>
        <w:rPr>
          <w:rFonts w:ascii="Times New Roman" w:hAnsi="Times New Roman" w:cs="Times New Roman"/>
          <w:sz w:val="24"/>
          <w:szCs w:val="24"/>
        </w:rPr>
        <w:t xml:space="preserve">dokonującej </w:t>
      </w:r>
      <w:r w:rsidR="0016077E">
        <w:rPr>
          <w:rFonts w:ascii="Times New Roman" w:hAnsi="Times New Roman" w:cs="Times New Roman"/>
          <w:sz w:val="24"/>
          <w:szCs w:val="24"/>
        </w:rPr>
        <w:t>wywozu nie udzielił odpowiedzi;</w:t>
      </w:r>
    </w:p>
    <w:p w:rsidR="009F47A8" w:rsidRDefault="0016077E" w:rsidP="00CD6EDC">
      <w:pPr>
        <w:spacing w:before="120" w:after="120"/>
        <w:ind w:left="141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9F47A8" w:rsidRDefault="00774A32" w:rsidP="00CD6EDC">
      <w:pPr>
        <w:spacing w:before="120" w:after="120"/>
        <w:ind w:left="141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16077E">
        <w:rPr>
          <w:rFonts w:ascii="Times New Roman" w:hAnsi="Times New Roman" w:cs="Times New Roman"/>
          <w:sz w:val="24"/>
          <w:szCs w:val="24"/>
        </w:rPr>
        <w:t xml:space="preserve">informacje dostarczone przez organ celny Strony </w:t>
      </w:r>
      <w:r>
        <w:rPr>
          <w:rFonts w:ascii="Times New Roman" w:hAnsi="Times New Roman" w:cs="Times New Roman"/>
          <w:sz w:val="24"/>
          <w:szCs w:val="24"/>
        </w:rPr>
        <w:t xml:space="preserve">dokonującej </w:t>
      </w:r>
      <w:r w:rsidR="0016077E">
        <w:rPr>
          <w:rFonts w:ascii="Times New Roman" w:hAnsi="Times New Roman" w:cs="Times New Roman"/>
          <w:sz w:val="24"/>
          <w:szCs w:val="24"/>
        </w:rPr>
        <w:t xml:space="preserve">wywozu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16077E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odpowiednie</w:t>
      </w:r>
      <w:r w:rsidR="0016077E">
        <w:rPr>
          <w:rFonts w:ascii="Times New Roman" w:hAnsi="Times New Roman" w:cs="Times New Roman"/>
          <w:sz w:val="24"/>
          <w:szCs w:val="24"/>
        </w:rPr>
        <w:t xml:space="preserve"> do potwierdzenia, że produkt jest </w:t>
      </w:r>
      <w:r>
        <w:rPr>
          <w:rFonts w:ascii="Times New Roman" w:hAnsi="Times New Roman" w:cs="Times New Roman"/>
          <w:sz w:val="24"/>
          <w:szCs w:val="24"/>
        </w:rPr>
        <w:t xml:space="preserve">produktem </w:t>
      </w:r>
      <w:r w:rsidR="0016077E">
        <w:rPr>
          <w:rFonts w:ascii="Times New Roman" w:hAnsi="Times New Roman" w:cs="Times New Roman"/>
          <w:sz w:val="24"/>
          <w:szCs w:val="24"/>
        </w:rPr>
        <w:t>pochodzący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16077E">
        <w:rPr>
          <w:rFonts w:ascii="Times New Roman" w:hAnsi="Times New Roman" w:cs="Times New Roman"/>
          <w:sz w:val="24"/>
          <w:szCs w:val="24"/>
        </w:rPr>
        <w:t>.</w:t>
      </w:r>
    </w:p>
    <w:p w:rsidR="009F47A8" w:rsidRDefault="00AC55BE" w:rsidP="00CD6EDC">
      <w:pPr>
        <w:pStyle w:val="Default"/>
        <w:numPr>
          <w:ilvl w:val="0"/>
          <w:numId w:val="8"/>
        </w:numPr>
        <w:spacing w:before="120" w:after="120" w:line="276" w:lineRule="auto"/>
        <w:jc w:val="both"/>
        <w:textAlignment w:val="baseline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Rozporządzenie </w:t>
      </w:r>
      <w:r w:rsidR="0016077E">
        <w:rPr>
          <w:rFonts w:eastAsia="Times New Roman"/>
          <w:b/>
          <w:color w:val="auto"/>
        </w:rPr>
        <w:t>wykonawcz</w:t>
      </w:r>
      <w:r>
        <w:rPr>
          <w:rFonts w:eastAsia="Times New Roman"/>
          <w:b/>
          <w:color w:val="auto"/>
        </w:rPr>
        <w:t>e</w:t>
      </w:r>
      <w:r w:rsidR="0016077E">
        <w:rPr>
          <w:rFonts w:eastAsia="Times New Roman"/>
          <w:b/>
          <w:color w:val="auto"/>
        </w:rPr>
        <w:t xml:space="preserve"> </w:t>
      </w:r>
      <w:r>
        <w:rPr>
          <w:rFonts w:eastAsia="Times New Roman"/>
          <w:b/>
          <w:color w:val="auto"/>
        </w:rPr>
        <w:t xml:space="preserve">do </w:t>
      </w:r>
      <w:r w:rsidR="0016077E">
        <w:rPr>
          <w:rFonts w:eastAsia="Times New Roman"/>
          <w:b/>
          <w:color w:val="auto"/>
        </w:rPr>
        <w:t>UKC</w:t>
      </w:r>
    </w:p>
    <w:p w:rsidR="009F47A8" w:rsidRDefault="0016077E" w:rsidP="00CD6EDC">
      <w:pPr>
        <w:pStyle w:val="CM4"/>
        <w:spacing w:before="120" w:after="120" w:line="276" w:lineRule="auto"/>
        <w:ind w:left="720"/>
        <w:rPr>
          <w:color w:val="000000"/>
        </w:rPr>
      </w:pPr>
      <w:r>
        <w:rPr>
          <w:rFonts w:eastAsia="Times New Roman"/>
          <w:b/>
        </w:rPr>
        <w:t>Artykuł 61 ust. 1.</w:t>
      </w:r>
      <w:r>
        <w:rPr>
          <w:b/>
          <w:bCs/>
          <w:color w:val="000000"/>
        </w:rPr>
        <w:t xml:space="preserve">Deklaracje dostawcy i ich stosowanie </w:t>
      </w:r>
    </w:p>
    <w:p w:rsidR="009F47A8" w:rsidRDefault="0016077E" w:rsidP="00CD6EDC">
      <w:pPr>
        <w:pStyle w:val="CM4"/>
        <w:spacing w:before="120" w:after="120" w:line="276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860F7F">
        <w:rPr>
          <w:rFonts w:eastAsia="Times New Roman"/>
        </w:rPr>
        <w:t xml:space="preserve"> </w:t>
      </w:r>
      <w:r>
        <w:rPr>
          <w:rFonts w:eastAsia="Times New Roman"/>
        </w:rPr>
        <w:t>Jeżeli dostawca udziela eksporterowi lub przedsiębiorcy informacji niezbędnych do określenia statusu pochodzenia towarów dla celów stosowania przepisów regulujących handel na warunkach preferencyjnych między Unią a niektórymi państwami lub terytoriami (status preferencyjnego pochodzenia), dostawca musi uczynić to w formie deklaracji dostawcy.</w:t>
      </w:r>
    </w:p>
    <w:p w:rsidR="009F47A8" w:rsidRDefault="0016077E" w:rsidP="00CD6EDC">
      <w:pPr>
        <w:pStyle w:val="paragraph"/>
        <w:spacing w:before="120" w:beforeAutospacing="0" w:after="120" w:afterAutospacing="0" w:line="276" w:lineRule="auto"/>
        <w:textAlignment w:val="baseline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</w:t>
      </w:r>
      <w:r w:rsidR="00860F7F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Wytyczne</w:t>
      </w:r>
    </w:p>
    <w:p w:rsidR="009F47A8" w:rsidRDefault="0016077E" w:rsidP="00CD6EDC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Niniejsze wytyczne dotyczą stosowania w UE wymogu określonego w art. 61 </w:t>
      </w:r>
      <w:r w:rsidR="00AC55BE">
        <w:rPr>
          <w:rFonts w:ascii="Times New Roman" w:eastAsia="Times New Roman" w:hAnsi="Times New Roman" w:cs="Times New Roman"/>
          <w:sz w:val="24"/>
          <w:szCs w:val="24"/>
        </w:rPr>
        <w:t>roporządzenia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wykonawczego do UKC w odniesieniu do deklaracji dostawcy.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handlu i współpracy między UE a Zjednoczonym Królestwem weszła w życie ty</w:t>
      </w:r>
      <w:r w:rsidR="00860F7F">
        <w:rPr>
          <w:rFonts w:ascii="Times New Roman" w:hAnsi="Times New Roman" w:cs="Times New Roman"/>
          <w:sz w:val="24"/>
          <w:szCs w:val="24"/>
        </w:rPr>
        <w:t>mczasowo w dniu 1 stycznia 2021 </w:t>
      </w:r>
      <w:r>
        <w:rPr>
          <w:rFonts w:ascii="Times New Roman" w:hAnsi="Times New Roman" w:cs="Times New Roman"/>
          <w:sz w:val="24"/>
          <w:szCs w:val="24"/>
        </w:rPr>
        <w:t>r.</w:t>
      </w:r>
      <w:r w:rsidR="00860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Ponieważ tekst umowy mógł zostać opublikowany dopiero w dniu 31 grudnia 2020 r., między opublikowaniem umowy a datą rozpoczęcia jej tymczasowego stosowania minął bardzo krótki okres.</w:t>
      </w:r>
      <w:r w:rsidR="00860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tym eksporterzy z UE mogą mieć trudności z uzyskaniem od swoich dostawców wszystkich stosownych deklaracji w t</w:t>
      </w:r>
      <w:r w:rsidR="00AC55BE">
        <w:rPr>
          <w:rFonts w:ascii="Times New Roman" w:hAnsi="Times New Roman" w:cs="Times New Roman"/>
          <w:sz w:val="24"/>
          <w:szCs w:val="24"/>
        </w:rPr>
        <w:t>erminie umożliwiającym sporządza</w:t>
      </w:r>
      <w:r>
        <w:rPr>
          <w:rFonts w:ascii="Times New Roman" w:hAnsi="Times New Roman" w:cs="Times New Roman"/>
          <w:sz w:val="24"/>
          <w:szCs w:val="24"/>
        </w:rPr>
        <w:t>nie oświadczeń o pochodzeniu od dnia 1 stycznia 2021</w:t>
      </w:r>
      <w:r w:rsidR="00860F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ułatwić sporządzanie oświadczeń o pochodzeniu od daty rozpoczęcia tymczasowego stosowania Umowy, w rozporządzeniu wykonawczym Komisji (UE) 2</w:t>
      </w:r>
      <w:r w:rsidR="00860F7F">
        <w:rPr>
          <w:rFonts w:ascii="Times New Roman" w:hAnsi="Times New Roman" w:cs="Times New Roman"/>
          <w:sz w:val="24"/>
          <w:szCs w:val="24"/>
        </w:rPr>
        <w:t>020/2254 z dnia 29 grudnia 2020 </w:t>
      </w:r>
      <w:r>
        <w:rPr>
          <w:rFonts w:ascii="Times New Roman" w:hAnsi="Times New Roman" w:cs="Times New Roman"/>
          <w:sz w:val="24"/>
          <w:szCs w:val="24"/>
        </w:rPr>
        <w:t>r. (</w:t>
      </w:r>
      <w:r w:rsidR="00860F7F">
        <w:rPr>
          <w:rFonts w:ascii="Times New Roman" w:hAnsi="Times New Roman" w:cs="Times New Roman"/>
          <w:sz w:val="24"/>
          <w:szCs w:val="24"/>
        </w:rPr>
        <w:t xml:space="preserve">dalej </w:t>
      </w:r>
      <w:r>
        <w:rPr>
          <w:rFonts w:ascii="Times New Roman" w:hAnsi="Times New Roman" w:cs="Times New Roman"/>
          <w:sz w:val="24"/>
          <w:szCs w:val="24"/>
        </w:rPr>
        <w:t xml:space="preserve">„rozporządzenie”) przewidziano roczny okres przejściowy, aby umożliwić eksporterom w UE sporządzanie oświadczeń o pochodzeniu, nawet jeżeli nie posiadają oni wszystkich </w:t>
      </w:r>
      <w:r w:rsidR="00AC55BE">
        <w:rPr>
          <w:rFonts w:ascii="Times New Roman" w:hAnsi="Times New Roman" w:cs="Times New Roman"/>
          <w:sz w:val="24"/>
          <w:szCs w:val="24"/>
        </w:rPr>
        <w:t>koniecznych</w:t>
      </w:r>
      <w:r>
        <w:rPr>
          <w:rFonts w:ascii="Times New Roman" w:hAnsi="Times New Roman" w:cs="Times New Roman"/>
          <w:sz w:val="24"/>
          <w:szCs w:val="24"/>
        </w:rPr>
        <w:t xml:space="preserve"> deklaracji dostawcy zawierających informacje niezbędne do ustalenia statusu pochodzenia towarów do celów postanowień regulujących handel na warunkach preferencyjnych między Unią a Zjednoczonym Królestwem.</w:t>
      </w:r>
      <w:r w:rsidR="00860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Brakujące deklaracje dostawcy muszą jednak zna</w:t>
      </w:r>
      <w:r w:rsidR="00AC55BE">
        <w:rPr>
          <w:rFonts w:ascii="Times New Roman" w:hAnsi="Times New Roman" w:cs="Times New Roman"/>
          <w:sz w:val="24"/>
          <w:szCs w:val="24"/>
        </w:rPr>
        <w:t>leźć</w:t>
      </w:r>
      <w:r>
        <w:rPr>
          <w:rFonts w:ascii="Times New Roman" w:hAnsi="Times New Roman" w:cs="Times New Roman"/>
          <w:sz w:val="24"/>
          <w:szCs w:val="24"/>
        </w:rPr>
        <w:t xml:space="preserve"> się w posiadaniu eksportera najpóźniej </w:t>
      </w:r>
      <w:r w:rsidR="00860F7F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dnia 1.01.2022</w:t>
      </w:r>
      <w:r w:rsidR="00860F7F">
        <w:rPr>
          <w:rFonts w:ascii="Times New Roman" w:hAnsi="Times New Roman" w:cs="Times New Roman"/>
          <w:sz w:val="24"/>
          <w:szCs w:val="24"/>
        </w:rPr>
        <w:t> </w:t>
      </w:r>
      <w:r w:rsidR="00AC55BE">
        <w:rPr>
          <w:rFonts w:ascii="Times New Roman" w:hAnsi="Times New Roman" w:cs="Times New Roman"/>
          <w:sz w:val="24"/>
          <w:szCs w:val="24"/>
        </w:rPr>
        <w:t>r.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nie zwalnia jednak eksporterów z obowiązku sporządzania oświadczeń o pochodzeniu zgodnie z postanowieniami Umowy, a w szczególności nie zwalnia ich z obowiązku sporządzania oświadczeń o pochodzeniu na podstawie informacji wykazujących, że produkt jest pochodzący.</w:t>
      </w:r>
    </w:p>
    <w:p w:rsidR="009F47A8" w:rsidRDefault="0016077E" w:rsidP="00CD6EDC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stosowania rozporządzenia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F7F">
        <w:rPr>
          <w:rFonts w:ascii="Times New Roman" w:eastAsia="Times New Roman" w:hAnsi="Times New Roman" w:cs="Times New Roman"/>
          <w:sz w:val="24"/>
          <w:szCs w:val="24"/>
        </w:rPr>
        <w:t>Rozporządzenie</w:t>
      </w:r>
      <w:r w:rsidR="0086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F7F">
        <w:rPr>
          <w:rFonts w:ascii="Times New Roman" w:eastAsia="Times New Roman" w:hAnsi="Times New Roman" w:cs="Times New Roman"/>
          <w:sz w:val="24"/>
          <w:szCs w:val="24"/>
        </w:rPr>
        <w:t>ma zastosowanie</w:t>
      </w:r>
      <w:r>
        <w:rPr>
          <w:rFonts w:ascii="Times New Roman" w:hAnsi="Times New Roman" w:cs="Times New Roman"/>
          <w:sz w:val="24"/>
          <w:szCs w:val="24"/>
        </w:rPr>
        <w:t xml:space="preserve"> wyłącznie do przypadków, w których eksporter w UE sporządza oświadczenia o pochodzeniu na podstawie deklaracji dostawcy dostarczonych przez dostawców zgodnie z art. 61 </w:t>
      </w:r>
      <w:r w:rsidR="00AC55BE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 xml:space="preserve"> wykonawczego do UKC.</w:t>
      </w:r>
      <w:r w:rsidR="00AA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ma ono zastosowania w przypadkach, gdy eksporter </w:t>
      </w:r>
      <w:r w:rsidR="00AC55B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UE posiada informacje na temat statusu pochodzenia produktów lub materiałów użytych do ich produkcji, za pomocą środków innych niż deklaracje dostawcy.</w:t>
      </w:r>
    </w:p>
    <w:p w:rsidR="009F47A8" w:rsidRDefault="0016077E" w:rsidP="00CD6EDC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Ważność oświadczenia o pochodzeniu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przejściowym (pierwszy rok stosowania umowy między UE a Zjednoczonym Królestwem) nie można kwestionować ważności oświadczenia o pochodzeniu, </w:t>
      </w:r>
      <w:r w:rsidR="00CD6EDC">
        <w:rPr>
          <w:rFonts w:ascii="Times New Roman" w:hAnsi="Times New Roman" w:cs="Times New Roman"/>
          <w:sz w:val="24"/>
          <w:szCs w:val="24"/>
        </w:rPr>
        <w:t>tylko z tego powodu, że</w:t>
      </w:r>
      <w:r>
        <w:rPr>
          <w:rFonts w:ascii="Times New Roman" w:hAnsi="Times New Roman" w:cs="Times New Roman"/>
          <w:sz w:val="24"/>
          <w:szCs w:val="24"/>
        </w:rPr>
        <w:t xml:space="preserve"> eksporter nie posiada wszystkich odpowiednich deklaracji dostawcy, na podstawie których sporządził oświadczenie.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do dnia 1.</w:t>
      </w:r>
      <w:r w:rsidR="00AA5A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1.2022</w:t>
      </w:r>
      <w:r w:rsidR="00AA5A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eksporter nie posiada odpowiednich deklaracji dostawcy i nie może wykazać statusu pochodzenia produktu za pomocą innych środków, oświadczenia o pochodzeniu nie można uznać za ważne.</w:t>
      </w:r>
      <w:r w:rsidR="00AA5A06">
        <w:rPr>
          <w:rFonts w:ascii="Times New Roman" w:hAnsi="Times New Roman" w:cs="Times New Roman"/>
          <w:sz w:val="24"/>
          <w:szCs w:val="24"/>
        </w:rPr>
        <w:t xml:space="preserve"> Zwykłe</w:t>
      </w:r>
      <w:r>
        <w:rPr>
          <w:rFonts w:ascii="Times New Roman" w:hAnsi="Times New Roman" w:cs="Times New Roman"/>
          <w:sz w:val="24"/>
          <w:szCs w:val="24"/>
        </w:rPr>
        <w:t xml:space="preserve"> reguły dotyczące ważności oświadczenia o pochodzeniu mają zastosowanie w tym momencie.</w:t>
      </w:r>
    </w:p>
    <w:p w:rsidR="009F47A8" w:rsidRDefault="0016077E" w:rsidP="00CD6EDC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eksportera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pierwszym roku stosowania umowy UE-Zjednoczone Królestwo</w:t>
      </w:r>
      <w:r>
        <w:rPr>
          <w:rFonts w:ascii="Times New Roman" w:hAnsi="Times New Roman" w:cs="Times New Roman"/>
          <w:sz w:val="24"/>
          <w:szCs w:val="24"/>
        </w:rPr>
        <w:t xml:space="preserve"> eksporter może sporządzać oświadczenia o pochodzeniu </w:t>
      </w:r>
      <w:r w:rsidR="00CD6EDC">
        <w:rPr>
          <w:rFonts w:ascii="Times New Roman" w:hAnsi="Times New Roman" w:cs="Times New Roman"/>
          <w:sz w:val="24"/>
          <w:szCs w:val="24"/>
        </w:rPr>
        <w:t>pomimo tego</w:t>
      </w:r>
      <w:r>
        <w:rPr>
          <w:rFonts w:ascii="Times New Roman" w:hAnsi="Times New Roman" w:cs="Times New Roman"/>
          <w:sz w:val="24"/>
          <w:szCs w:val="24"/>
        </w:rPr>
        <w:t>, że nie posiadał on w momencie sporządzania oświadczenia o pochodzeniu</w:t>
      </w:r>
      <w:r w:rsidR="00CD6EDC">
        <w:rPr>
          <w:rFonts w:ascii="Times New Roman" w:hAnsi="Times New Roman" w:cs="Times New Roman"/>
          <w:sz w:val="24"/>
          <w:szCs w:val="24"/>
        </w:rPr>
        <w:t xml:space="preserve"> koniecznych deklaracji dostawcy</w:t>
      </w:r>
      <w:r>
        <w:rPr>
          <w:rFonts w:ascii="Times New Roman" w:hAnsi="Times New Roman" w:cs="Times New Roman"/>
          <w:sz w:val="24"/>
          <w:szCs w:val="24"/>
        </w:rPr>
        <w:t xml:space="preserve">, ale będzie </w:t>
      </w:r>
      <w:r w:rsidR="00CD6EDC">
        <w:rPr>
          <w:rFonts w:ascii="Times New Roman" w:hAnsi="Times New Roman" w:cs="Times New Roman"/>
          <w:sz w:val="24"/>
          <w:szCs w:val="24"/>
        </w:rPr>
        <w:t xml:space="preserve">je posiadał </w:t>
      </w:r>
      <w:r>
        <w:rPr>
          <w:rFonts w:ascii="Times New Roman" w:hAnsi="Times New Roman" w:cs="Times New Roman"/>
          <w:sz w:val="24"/>
          <w:szCs w:val="24"/>
        </w:rPr>
        <w:t>później.</w:t>
      </w:r>
      <w:r w:rsidR="001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tym eksporter korzystający ze stosowania rozporządzenia nie jest zobowiązany, w ciągu tego rocznego okresu przejściowego, do posiadania wszystkich odpowiednich deklaracji dostawcy i nie może zostać ukarany, ponieważ nie posiada tych deklaracji.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Jednakże w dniu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D4C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1.2022 r. eksporter powinien posiadać </w:t>
      </w:r>
      <w:r w:rsidR="00CD6EDC">
        <w:rPr>
          <w:rFonts w:ascii="Times New Roman" w:hAnsi="Times New Roman" w:cs="Times New Roman"/>
          <w:sz w:val="24"/>
          <w:szCs w:val="24"/>
        </w:rPr>
        <w:t xml:space="preserve">już </w:t>
      </w:r>
      <w:r>
        <w:rPr>
          <w:rFonts w:ascii="Times New Roman" w:hAnsi="Times New Roman" w:cs="Times New Roman"/>
          <w:sz w:val="24"/>
          <w:szCs w:val="24"/>
        </w:rPr>
        <w:t xml:space="preserve">ważne deklaracje dostawcy, na podstawie </w:t>
      </w:r>
      <w:r w:rsidR="00CD6EDC">
        <w:rPr>
          <w:rFonts w:ascii="Times New Roman" w:hAnsi="Times New Roman" w:cs="Times New Roman"/>
          <w:sz w:val="24"/>
          <w:szCs w:val="24"/>
        </w:rPr>
        <w:t>których sporządzono oświadczenia</w:t>
      </w:r>
      <w:r>
        <w:rPr>
          <w:rFonts w:ascii="Times New Roman" w:hAnsi="Times New Roman" w:cs="Times New Roman"/>
          <w:sz w:val="24"/>
          <w:szCs w:val="24"/>
        </w:rPr>
        <w:t xml:space="preserve"> o pochodzeniu.</w:t>
      </w:r>
      <w:r w:rsidR="001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przeciwnym razie i jeżeli nie jest on w stanie wykazać statusu pochodzenia produktu za pomocą innych środków, zostan</w:t>
      </w:r>
      <w:r w:rsidR="00CD6ED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CD6E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uznan</w:t>
      </w:r>
      <w:r w:rsidR="00CD6E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niespełniające </w:t>
      </w:r>
      <w:r w:rsidR="00CD6EDC">
        <w:rPr>
          <w:rFonts w:ascii="Times New Roman" w:hAnsi="Times New Roman" w:cs="Times New Roman"/>
          <w:sz w:val="24"/>
          <w:szCs w:val="24"/>
        </w:rPr>
        <w:t>wymogów</w:t>
      </w:r>
      <w:r>
        <w:rPr>
          <w:rFonts w:ascii="Times New Roman" w:hAnsi="Times New Roman" w:cs="Times New Roman"/>
          <w:sz w:val="24"/>
          <w:szCs w:val="24"/>
        </w:rPr>
        <w:t xml:space="preserve"> w odniesieniu do posiadania informacji niezbędnych do określenia statusu pochodzenia produktów.</w:t>
      </w:r>
      <w:r w:rsidR="001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Sytuacja </w:t>
      </w:r>
      <w:r w:rsidR="00CD6EDC">
        <w:rPr>
          <w:rFonts w:ascii="Times New Roman" w:hAnsi="Times New Roman" w:cs="Times New Roman"/>
          <w:sz w:val="24"/>
          <w:szCs w:val="24"/>
        </w:rPr>
        <w:t xml:space="preserve">taka </w:t>
      </w:r>
      <w:r>
        <w:rPr>
          <w:rFonts w:ascii="Times New Roman" w:hAnsi="Times New Roman" w:cs="Times New Roman"/>
          <w:sz w:val="24"/>
          <w:szCs w:val="24"/>
        </w:rPr>
        <w:t>jest równoważna z przypadkami, które nie są objęte zakresem stosowania rozporządzenia, w przypadku gdy eksporter po sporządzeniu oświadczenia o pochodzeniu stwierdzi, że produkt nie jest pochodzący lub że nie może tego wykazać.</w:t>
      </w:r>
    </w:p>
    <w:p w:rsidR="009F47A8" w:rsidRDefault="0016077E" w:rsidP="00CD6ED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rozporządzeniem eksporter ma </w:t>
      </w:r>
      <w:r>
        <w:rPr>
          <w:rFonts w:ascii="Times New Roman" w:hAnsi="Times New Roman" w:cs="Times New Roman"/>
          <w:b/>
          <w:sz w:val="24"/>
          <w:szCs w:val="24"/>
        </w:rPr>
        <w:t>jeden miesiąc na poinformowanie importera</w:t>
      </w:r>
      <w:r>
        <w:rPr>
          <w:rFonts w:ascii="Times New Roman" w:hAnsi="Times New Roman" w:cs="Times New Roman"/>
          <w:sz w:val="24"/>
          <w:szCs w:val="24"/>
        </w:rPr>
        <w:t xml:space="preserve">, jeżeli na koniec rocznego okresu przejściowego nie zdoła on </w:t>
      </w:r>
      <w:r w:rsidR="00CD6EDC">
        <w:rPr>
          <w:rFonts w:ascii="Times New Roman" w:hAnsi="Times New Roman" w:cs="Times New Roman"/>
          <w:sz w:val="24"/>
          <w:szCs w:val="24"/>
        </w:rPr>
        <w:t>uzyskać</w:t>
      </w:r>
      <w:r>
        <w:rPr>
          <w:rFonts w:ascii="Times New Roman" w:hAnsi="Times New Roman" w:cs="Times New Roman"/>
          <w:sz w:val="24"/>
          <w:szCs w:val="24"/>
        </w:rPr>
        <w:t xml:space="preserve"> wszystkich odpowiednich deklaracji dostawcy.</w:t>
      </w:r>
    </w:p>
    <w:p w:rsidR="009F47A8" w:rsidRDefault="009F47A8" w:rsidP="00CD6EDC">
      <w:pPr>
        <w:spacing w:before="120" w:after="120"/>
        <w:ind w:left="360"/>
        <w:jc w:val="both"/>
      </w:pPr>
    </w:p>
    <w:sectPr w:rsidR="009F47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1A" w:rsidRDefault="005A691A">
      <w:pPr>
        <w:spacing w:after="0" w:line="240" w:lineRule="auto"/>
      </w:pPr>
      <w:r>
        <w:separator/>
      </w:r>
    </w:p>
  </w:endnote>
  <w:endnote w:type="continuationSeparator" w:id="0">
    <w:p w:rsidR="005A691A" w:rsidRDefault="005A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301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7A8" w:rsidRDefault="0016077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7A8" w:rsidRDefault="009F4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1A" w:rsidRDefault="005A691A">
      <w:pPr>
        <w:spacing w:after="0" w:line="240" w:lineRule="auto"/>
      </w:pPr>
      <w:r>
        <w:separator/>
      </w:r>
    </w:p>
  </w:footnote>
  <w:footnote w:type="continuationSeparator" w:id="0">
    <w:p w:rsidR="005A691A" w:rsidRDefault="005A691A">
      <w:pPr>
        <w:spacing w:after="0" w:line="240" w:lineRule="auto"/>
      </w:pPr>
      <w:r>
        <w:continuationSeparator/>
      </w:r>
    </w:p>
  </w:footnote>
  <w:footnote w:id="1">
    <w:p w:rsidR="009F47A8" w:rsidRDefault="0016077E">
      <w:pPr>
        <w:pStyle w:val="Tekstprzypisudolnego"/>
        <w:ind w:right="-142"/>
      </w:pPr>
      <w:r>
        <w:rPr>
          <w:rStyle w:val="Odwoanieprzypisudolnego"/>
        </w:rPr>
        <w:footnoteRef/>
      </w:r>
      <w:r>
        <w:t>Okres ten wynosi 12 miesięcy w przypadku wniosków o udzielenie informacji zgodnie z art. ORIG.2 ust. 2 [Współpraca administracyjna] skierowanych do organu celnego Strony wywozu w ciągu pierwszych trzech miesięcy stosowania niniejszej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637"/>
    <w:multiLevelType w:val="hybridMultilevel"/>
    <w:tmpl w:val="0EECCD6A"/>
    <w:lvl w:ilvl="0" w:tplc="D8362A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70D"/>
    <w:multiLevelType w:val="hybridMultilevel"/>
    <w:tmpl w:val="8B18A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65AD"/>
    <w:multiLevelType w:val="hybridMultilevel"/>
    <w:tmpl w:val="1ECE3DFC"/>
    <w:lvl w:ilvl="0" w:tplc="C450B3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4E45"/>
    <w:multiLevelType w:val="multilevel"/>
    <w:tmpl w:val="EE06E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84C53"/>
    <w:multiLevelType w:val="hybridMultilevel"/>
    <w:tmpl w:val="DDB64410"/>
    <w:lvl w:ilvl="0" w:tplc="8ED03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1D0B"/>
    <w:multiLevelType w:val="hybridMultilevel"/>
    <w:tmpl w:val="A3D22EC2"/>
    <w:lvl w:ilvl="0" w:tplc="31644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B416C6"/>
    <w:multiLevelType w:val="hybridMultilevel"/>
    <w:tmpl w:val="D382B57E"/>
    <w:lvl w:ilvl="0" w:tplc="B00EBB34">
      <w:start w:val="1"/>
      <w:numFmt w:val="lowerRoman"/>
      <w:lvlText w:val="(%1)"/>
      <w:lvlJc w:val="right"/>
      <w:pPr>
        <w:ind w:left="927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C0019">
      <w:start w:val="1"/>
      <w:numFmt w:val="lowerLetter"/>
      <w:lvlText w:val="%2."/>
      <w:lvlJc w:val="left"/>
      <w:pPr>
        <w:ind w:left="1647" w:hanging="360"/>
      </w:pPr>
    </w:lvl>
    <w:lvl w:ilvl="2" w:tplc="080C001B">
      <w:start w:val="1"/>
      <w:numFmt w:val="lowerRoman"/>
      <w:lvlText w:val="%3."/>
      <w:lvlJc w:val="right"/>
      <w:pPr>
        <w:ind w:left="2367" w:hanging="180"/>
      </w:pPr>
    </w:lvl>
    <w:lvl w:ilvl="3" w:tplc="080C000F">
      <w:start w:val="1"/>
      <w:numFmt w:val="decimal"/>
      <w:lvlText w:val="%4."/>
      <w:lvlJc w:val="left"/>
      <w:pPr>
        <w:ind w:left="3087" w:hanging="360"/>
      </w:pPr>
    </w:lvl>
    <w:lvl w:ilvl="4" w:tplc="080C0019">
      <w:start w:val="1"/>
      <w:numFmt w:val="lowerLetter"/>
      <w:lvlText w:val="%5."/>
      <w:lvlJc w:val="left"/>
      <w:pPr>
        <w:ind w:left="3807" w:hanging="360"/>
      </w:pPr>
    </w:lvl>
    <w:lvl w:ilvl="5" w:tplc="080C001B">
      <w:start w:val="1"/>
      <w:numFmt w:val="lowerRoman"/>
      <w:lvlText w:val="%6."/>
      <w:lvlJc w:val="right"/>
      <w:pPr>
        <w:ind w:left="4527" w:hanging="180"/>
      </w:pPr>
    </w:lvl>
    <w:lvl w:ilvl="6" w:tplc="080C000F">
      <w:start w:val="1"/>
      <w:numFmt w:val="decimal"/>
      <w:lvlText w:val="%7."/>
      <w:lvlJc w:val="left"/>
      <w:pPr>
        <w:ind w:left="5247" w:hanging="360"/>
      </w:pPr>
    </w:lvl>
    <w:lvl w:ilvl="7" w:tplc="080C0019">
      <w:start w:val="1"/>
      <w:numFmt w:val="lowerLetter"/>
      <w:lvlText w:val="%8."/>
      <w:lvlJc w:val="left"/>
      <w:pPr>
        <w:ind w:left="5967" w:hanging="360"/>
      </w:pPr>
    </w:lvl>
    <w:lvl w:ilvl="8" w:tplc="080C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D9464C"/>
    <w:multiLevelType w:val="hybridMultilevel"/>
    <w:tmpl w:val="E8744AFE"/>
    <w:lvl w:ilvl="0" w:tplc="5882F08C">
      <w:start w:val="1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0464E7"/>
    <w:multiLevelType w:val="hybridMultilevel"/>
    <w:tmpl w:val="34E80E8C"/>
    <w:lvl w:ilvl="0" w:tplc="8D6E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7101"/>
    <w:multiLevelType w:val="hybridMultilevel"/>
    <w:tmpl w:val="C36812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D505C9E">
      <w:start w:val="1"/>
      <w:numFmt w:val="lowerLetter"/>
      <w:lvlText w:val="(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1C"/>
    <w:rsid w:val="00000F78"/>
    <w:rsid w:val="0000790D"/>
    <w:rsid w:val="000153CF"/>
    <w:rsid w:val="00053CBE"/>
    <w:rsid w:val="00063C59"/>
    <w:rsid w:val="000703F1"/>
    <w:rsid w:val="000A498F"/>
    <w:rsid w:val="000E042C"/>
    <w:rsid w:val="000E55AB"/>
    <w:rsid w:val="000F0D3F"/>
    <w:rsid w:val="00141D59"/>
    <w:rsid w:val="0016077E"/>
    <w:rsid w:val="0019306F"/>
    <w:rsid w:val="001B7637"/>
    <w:rsid w:val="001D4C14"/>
    <w:rsid w:val="001E3136"/>
    <w:rsid w:val="001F5245"/>
    <w:rsid w:val="001F5BDC"/>
    <w:rsid w:val="002424AB"/>
    <w:rsid w:val="0027221A"/>
    <w:rsid w:val="0027384E"/>
    <w:rsid w:val="002D2643"/>
    <w:rsid w:val="00326C22"/>
    <w:rsid w:val="00345C3A"/>
    <w:rsid w:val="003900BA"/>
    <w:rsid w:val="003936BD"/>
    <w:rsid w:val="003A4C81"/>
    <w:rsid w:val="003A63E7"/>
    <w:rsid w:val="003D2073"/>
    <w:rsid w:val="003F397C"/>
    <w:rsid w:val="003F629D"/>
    <w:rsid w:val="0040669E"/>
    <w:rsid w:val="00410453"/>
    <w:rsid w:val="00412B08"/>
    <w:rsid w:val="00413A23"/>
    <w:rsid w:val="00413E1C"/>
    <w:rsid w:val="00447AAC"/>
    <w:rsid w:val="00463FCE"/>
    <w:rsid w:val="00471D77"/>
    <w:rsid w:val="00480E7A"/>
    <w:rsid w:val="004861D7"/>
    <w:rsid w:val="00560334"/>
    <w:rsid w:val="0056158D"/>
    <w:rsid w:val="00571AA4"/>
    <w:rsid w:val="00576804"/>
    <w:rsid w:val="005857CC"/>
    <w:rsid w:val="005A691A"/>
    <w:rsid w:val="005B4EC5"/>
    <w:rsid w:val="00626A93"/>
    <w:rsid w:val="0064775F"/>
    <w:rsid w:val="0069138F"/>
    <w:rsid w:val="006B2C03"/>
    <w:rsid w:val="006D3FC6"/>
    <w:rsid w:val="006E3D32"/>
    <w:rsid w:val="006E3D7D"/>
    <w:rsid w:val="006F4A98"/>
    <w:rsid w:val="006F6784"/>
    <w:rsid w:val="00717641"/>
    <w:rsid w:val="007400A2"/>
    <w:rsid w:val="00742C13"/>
    <w:rsid w:val="00774A32"/>
    <w:rsid w:val="00785B0B"/>
    <w:rsid w:val="00793AE9"/>
    <w:rsid w:val="007C4532"/>
    <w:rsid w:val="007F2729"/>
    <w:rsid w:val="00805D5D"/>
    <w:rsid w:val="00836915"/>
    <w:rsid w:val="008463AF"/>
    <w:rsid w:val="008548E7"/>
    <w:rsid w:val="00860F7F"/>
    <w:rsid w:val="00866B62"/>
    <w:rsid w:val="00875EAD"/>
    <w:rsid w:val="00875FD7"/>
    <w:rsid w:val="008820B9"/>
    <w:rsid w:val="008905EA"/>
    <w:rsid w:val="008A4548"/>
    <w:rsid w:val="008D045A"/>
    <w:rsid w:val="008F215E"/>
    <w:rsid w:val="00907FCB"/>
    <w:rsid w:val="00913B89"/>
    <w:rsid w:val="0093148B"/>
    <w:rsid w:val="00966066"/>
    <w:rsid w:val="00992E17"/>
    <w:rsid w:val="00993573"/>
    <w:rsid w:val="009C554A"/>
    <w:rsid w:val="009C6DDC"/>
    <w:rsid w:val="009D111F"/>
    <w:rsid w:val="009F21B2"/>
    <w:rsid w:val="009F47A8"/>
    <w:rsid w:val="00A07F53"/>
    <w:rsid w:val="00A461B6"/>
    <w:rsid w:val="00AA5A06"/>
    <w:rsid w:val="00AB2C7D"/>
    <w:rsid w:val="00AC55BE"/>
    <w:rsid w:val="00B16D1B"/>
    <w:rsid w:val="00B7083F"/>
    <w:rsid w:val="00BF463C"/>
    <w:rsid w:val="00C52D19"/>
    <w:rsid w:val="00C531E6"/>
    <w:rsid w:val="00C532DC"/>
    <w:rsid w:val="00C6400D"/>
    <w:rsid w:val="00C755F1"/>
    <w:rsid w:val="00C75E58"/>
    <w:rsid w:val="00C83509"/>
    <w:rsid w:val="00C953F4"/>
    <w:rsid w:val="00CA7B88"/>
    <w:rsid w:val="00CC1021"/>
    <w:rsid w:val="00CD6EDC"/>
    <w:rsid w:val="00D001EA"/>
    <w:rsid w:val="00D167BC"/>
    <w:rsid w:val="00D4284B"/>
    <w:rsid w:val="00D55DFF"/>
    <w:rsid w:val="00D77EA2"/>
    <w:rsid w:val="00DB7402"/>
    <w:rsid w:val="00DD7A1C"/>
    <w:rsid w:val="00DF6A7C"/>
    <w:rsid w:val="00E06A9A"/>
    <w:rsid w:val="00E10A56"/>
    <w:rsid w:val="00E4686D"/>
    <w:rsid w:val="00E6550A"/>
    <w:rsid w:val="00E92570"/>
    <w:rsid w:val="00E96F23"/>
    <w:rsid w:val="00EA7038"/>
    <w:rsid w:val="00F022C9"/>
    <w:rsid w:val="00F14750"/>
    <w:rsid w:val="00F31A4D"/>
    <w:rsid w:val="00F4755F"/>
    <w:rsid w:val="00FB128F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2460-BD82-46A2-909A-B35C571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omylnaczcionkaakapitu"/>
    <w:rsid w:val="003F629D"/>
  </w:style>
  <w:style w:type="character" w:customStyle="1" w:styleId="eop">
    <w:name w:val="eop"/>
    <w:basedOn w:val="Domylnaczcionkaakapitu"/>
    <w:rsid w:val="003F629D"/>
  </w:style>
  <w:style w:type="paragraph" w:styleId="Akapitzlist">
    <w:name w:val="List Paragraph"/>
    <w:basedOn w:val="Normalny"/>
    <w:uiPriority w:val="34"/>
    <w:qFormat/>
    <w:rsid w:val="00E06A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7C"/>
  </w:style>
  <w:style w:type="paragraph" w:styleId="Stopka">
    <w:name w:val="footer"/>
    <w:basedOn w:val="Normalny"/>
    <w:link w:val="StopkaZnak"/>
    <w:uiPriority w:val="99"/>
    <w:unhideWhenUsed/>
    <w:rsid w:val="00DF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7C"/>
  </w:style>
  <w:style w:type="character" w:customStyle="1" w:styleId="TekstprzypisudolnegoZnak">
    <w:name w:val="Tekst przypisu dolnego Znak"/>
    <w:aliases w:val="Final Footnote Text Znak,fn Znak,footnote text Znak,Nota de rodapé Znak,Final Footnote Text Char Char Znak,GM_Fußnotentext Znak,Footnote text Znak,Schriftart: 9 pt Znak,Schriftart: 10 pt Znak,Schriftart: 8 pt Znak,Car Znak"/>
    <w:basedOn w:val="Domylnaczcionkaakapitu"/>
    <w:link w:val="Tekstprzypisudolnego"/>
    <w:uiPriority w:val="99"/>
    <w:semiHidden/>
    <w:qFormat/>
    <w:locked/>
    <w:rsid w:val="000F0D3F"/>
    <w:rPr>
      <w:sz w:val="20"/>
      <w:szCs w:val="20"/>
    </w:rPr>
  </w:style>
  <w:style w:type="paragraph" w:styleId="Tekstprzypisudolnego">
    <w:name w:val="footnote text"/>
    <w:aliases w:val="Final Footnote Text,fn,footnote text,Nota de rodapé,Final Footnote Text Char Char,GM_Fußnotentext,Footnote text,Schriftart: 9 pt,Schriftart: 10 pt,Schriftart: 8 pt,WB-Fußnotentext,Car,ALTS FOOTNOTE,o"/>
    <w:basedOn w:val="Normalny"/>
    <w:link w:val="TekstprzypisudolnegoZnak"/>
    <w:uiPriority w:val="99"/>
    <w:semiHidden/>
    <w:unhideWhenUsed/>
    <w:qFormat/>
    <w:rsid w:val="000F0D3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0F0D3F"/>
    <w:rPr>
      <w:sz w:val="20"/>
      <w:szCs w:val="20"/>
    </w:rPr>
  </w:style>
  <w:style w:type="character" w:customStyle="1" w:styleId="ArticleChar">
    <w:name w:val="Article Char"/>
    <w:basedOn w:val="Domylnaczcionkaakapitu"/>
    <w:link w:val="Article"/>
    <w:locked/>
    <w:rsid w:val="000F0D3F"/>
    <w:rPr>
      <w:lang w:eastAsia="en-GB" w:bidi="fr-BE"/>
    </w:rPr>
  </w:style>
  <w:style w:type="paragraph" w:customStyle="1" w:styleId="Article">
    <w:name w:val="Article"/>
    <w:basedOn w:val="Normalny"/>
    <w:next w:val="Normalny"/>
    <w:link w:val="ArticleChar"/>
    <w:autoRedefine/>
    <w:qFormat/>
    <w:rsid w:val="000F0D3F"/>
    <w:pPr>
      <w:keepNext/>
      <w:spacing w:before="120" w:after="240" w:line="240" w:lineRule="auto"/>
      <w:jc w:val="center"/>
      <w:outlineLvl w:val="0"/>
    </w:pPr>
    <w:rPr>
      <w:lang w:eastAsia="en-GB" w:bidi="fr-BE"/>
    </w:rPr>
  </w:style>
  <w:style w:type="character" w:styleId="Odwoanieprzypisudolnego">
    <w:name w:val="footnote reference"/>
    <w:aliases w:val="BVI fnr,(Footnote Reference),Footnote Reference/,Ref,de nota al pie,number,Footnote symbol,Footnote,Appel note de bas de p,Footnote Reference Superscript,Times 10 Point,Exposant 3 Point,PBO Footnote Reference,FR"/>
    <w:basedOn w:val="Domylnaczcionkaakapitu"/>
    <w:link w:val="FootnotesymbolCarZchn"/>
    <w:unhideWhenUsed/>
    <w:qFormat/>
    <w:rsid w:val="000F0D3F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rsid w:val="000F0D3F"/>
    <w:pPr>
      <w:spacing w:after="160" w:line="240" w:lineRule="exact"/>
      <w:jc w:val="both"/>
    </w:pPr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4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4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7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B76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1B7637"/>
    <w:rPr>
      <w:color w:val="auto"/>
    </w:rPr>
  </w:style>
  <w:style w:type="paragraph" w:customStyle="1" w:styleId="CM4">
    <w:name w:val="CM4"/>
    <w:basedOn w:val="Default"/>
    <w:next w:val="Default"/>
    <w:uiPriority w:val="99"/>
    <w:rsid w:val="001B7637"/>
    <w:rPr>
      <w:color w:val="auto"/>
    </w:rPr>
  </w:style>
  <w:style w:type="paragraph" w:styleId="Poprawka">
    <w:name w:val="Revision"/>
    <w:hidden/>
    <w:uiPriority w:val="99"/>
    <w:semiHidden/>
    <w:rsid w:val="00993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A058-4533-4665-AD54-E165B713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5813</Characters>
  <Application>Microsoft Office Word</Application>
  <DocSecurity>4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2021-12-09T13:38:00Z</dcterms:created>
  <dcterms:modified xsi:type="dcterms:W3CDTF">2021-12-09T13:38:00Z</dcterms:modified>
</cp:coreProperties>
</file>