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6DA6C" w14:textId="77777777" w:rsidR="00BB14B4" w:rsidRPr="00C510C3" w:rsidRDefault="00BB14B4" w:rsidP="00BB14B4">
      <w:pPr>
        <w:spacing w:before="100" w:beforeAutospacing="1" w:after="0" w:line="360" w:lineRule="auto"/>
        <w:outlineLvl w:val="0"/>
        <w:rPr>
          <w:rFonts w:ascii="Arial" w:eastAsia="Batang" w:hAnsi="Arial" w:cs="Arial"/>
          <w:b/>
          <w:color w:val="808080"/>
          <w:sz w:val="36"/>
          <w:szCs w:val="36"/>
          <w:lang w:val="pl-PL" w:eastAsia="ko-KR"/>
        </w:rPr>
      </w:pPr>
      <w:r w:rsidRPr="00C510C3">
        <w:rPr>
          <w:rFonts w:ascii="Times New Roman" w:eastAsia="Batang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2182AA63" wp14:editId="2CCF5C27">
            <wp:simplePos x="0" y="0"/>
            <wp:positionH relativeFrom="column">
              <wp:posOffset>-918210</wp:posOffset>
            </wp:positionH>
            <wp:positionV relativeFrom="paragraph">
              <wp:posOffset>-907415</wp:posOffset>
            </wp:positionV>
            <wp:extent cx="944880" cy="10695305"/>
            <wp:effectExtent l="0" t="0" r="7620" b="0"/>
            <wp:wrapNone/>
            <wp:docPr id="1" name="Picture 7" descr="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se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10C3">
        <w:rPr>
          <w:rFonts w:ascii="Times New Roman" w:eastAsia="Batang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0288" behindDoc="1" locked="0" layoutInCell="1" allowOverlap="1" wp14:anchorId="2A0F02E2" wp14:editId="1CEE7338">
            <wp:simplePos x="0" y="0"/>
            <wp:positionH relativeFrom="column">
              <wp:posOffset>577575</wp:posOffset>
            </wp:positionH>
            <wp:positionV relativeFrom="paragraph">
              <wp:posOffset>-194945</wp:posOffset>
            </wp:positionV>
            <wp:extent cx="1583690" cy="960755"/>
            <wp:effectExtent l="0" t="0" r="0" b="0"/>
            <wp:wrapNone/>
            <wp:docPr id="4" name="Obraz 4" descr="G:\KAS\oryginalne _2_3_KAS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KAS\oryginalne _2_3_KAS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E60BB7" w14:textId="77777777" w:rsidR="00BB14B4" w:rsidRPr="00C510C3" w:rsidRDefault="00BB14B4" w:rsidP="00BB14B4">
      <w:pPr>
        <w:spacing w:before="100" w:beforeAutospacing="1" w:after="0" w:line="360" w:lineRule="auto"/>
        <w:outlineLvl w:val="0"/>
        <w:rPr>
          <w:rFonts w:ascii="Arial" w:eastAsia="Batang" w:hAnsi="Arial" w:cs="Arial"/>
          <w:b/>
          <w:color w:val="808080"/>
          <w:sz w:val="36"/>
          <w:szCs w:val="36"/>
          <w:lang w:val="pl-PL" w:eastAsia="ko-KR"/>
        </w:rPr>
      </w:pPr>
      <w:r w:rsidRPr="00C510C3">
        <w:rPr>
          <w:rFonts w:ascii="Arial" w:eastAsia="Batang" w:hAnsi="Arial" w:cs="Arial"/>
          <w:b/>
          <w:noProof/>
          <w:color w:val="ADAFB2"/>
          <w:sz w:val="40"/>
          <w:szCs w:val="40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6DA07" wp14:editId="21A6F83D">
                <wp:simplePos x="0" y="0"/>
                <wp:positionH relativeFrom="column">
                  <wp:posOffset>582295</wp:posOffset>
                </wp:positionH>
                <wp:positionV relativeFrom="paragraph">
                  <wp:posOffset>501015</wp:posOffset>
                </wp:positionV>
                <wp:extent cx="2391410" cy="561340"/>
                <wp:effectExtent l="0" t="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DED80" w14:textId="77777777" w:rsidR="009A4775" w:rsidRPr="002A677A" w:rsidRDefault="009A4775" w:rsidP="00BB14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A677A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  <w:t>Ministerstwo Finansów</w:t>
                            </w:r>
                          </w:p>
                          <w:p w14:paraId="3E2D21DD" w14:textId="77777777" w:rsidR="009A4775" w:rsidRPr="002A677A" w:rsidRDefault="009A4775" w:rsidP="00BB14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2A677A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pl-PL"/>
                              </w:rPr>
                              <w:t>Departament Ceł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6DA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.85pt;margin-top:39.45pt;width:188.3pt;height:4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EL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" filled="f" stroked="f">
                <v:textbox inset="0,0,0,0">
                  <w:txbxContent>
                    <w:p w14:paraId="531DED80" w14:textId="77777777" w:rsidR="009A4775" w:rsidRPr="002A677A" w:rsidRDefault="009A4775" w:rsidP="00BB14B4">
                      <w:pPr>
                        <w:spacing w:after="0" w:line="240" w:lineRule="auto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</w:pPr>
                      <w:r w:rsidRPr="002A677A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  <w:t>Ministerstwo Finansów</w:t>
                      </w:r>
                    </w:p>
                    <w:p w14:paraId="3E2D21DD" w14:textId="77777777" w:rsidR="009A4775" w:rsidRPr="002A677A" w:rsidRDefault="009A4775" w:rsidP="00BB14B4">
                      <w:pPr>
                        <w:spacing w:after="0" w:line="240" w:lineRule="auto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</w:pPr>
                      <w:r w:rsidRPr="002A677A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pl-PL"/>
                        </w:rPr>
                        <w:t>Departament Ceł</w:t>
                      </w:r>
                    </w:p>
                  </w:txbxContent>
                </v:textbox>
              </v:shape>
            </w:pict>
          </mc:Fallback>
        </mc:AlternateContent>
      </w:r>
      <w:r w:rsidRPr="00C510C3">
        <w:rPr>
          <w:rFonts w:ascii="Arial" w:eastAsia="Batang" w:hAnsi="Arial" w:cs="Arial"/>
          <w:b/>
          <w:noProof/>
          <w:color w:val="ADAFB2"/>
          <w:sz w:val="40"/>
          <w:szCs w:val="40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E10C2" wp14:editId="6E25AFBA">
                <wp:simplePos x="0" y="0"/>
                <wp:positionH relativeFrom="column">
                  <wp:posOffset>574722</wp:posOffset>
                </wp:positionH>
                <wp:positionV relativeFrom="paragraph">
                  <wp:posOffset>415290</wp:posOffset>
                </wp:positionV>
                <wp:extent cx="1142365" cy="0"/>
                <wp:effectExtent l="0" t="0" r="1968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23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C9CA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77C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25pt;margin-top:32.7pt;width:89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" strokecolor="#c9cacc" strokeweight=".5pt"/>
            </w:pict>
          </mc:Fallback>
        </mc:AlternateContent>
      </w:r>
    </w:p>
    <w:p w14:paraId="385C6B4F" w14:textId="77777777" w:rsidR="00BB14B4" w:rsidRPr="00C510C3" w:rsidRDefault="00BB14B4" w:rsidP="00BB14B4">
      <w:pPr>
        <w:spacing w:before="100" w:beforeAutospacing="1" w:after="0" w:line="360" w:lineRule="auto"/>
        <w:jc w:val="center"/>
        <w:outlineLvl w:val="0"/>
        <w:rPr>
          <w:rFonts w:ascii="Arial" w:eastAsia="Batang" w:hAnsi="Arial" w:cs="Arial"/>
          <w:b/>
          <w:color w:val="808080"/>
          <w:sz w:val="36"/>
          <w:szCs w:val="36"/>
          <w:lang w:val="pl-PL" w:eastAsia="ko-KR"/>
        </w:rPr>
      </w:pPr>
    </w:p>
    <w:p w14:paraId="4C8D8AE4" w14:textId="77777777" w:rsidR="00BB14B4" w:rsidRPr="00C510C3" w:rsidRDefault="00BB14B4" w:rsidP="00BB14B4">
      <w:pPr>
        <w:spacing w:before="100" w:beforeAutospacing="1" w:after="0" w:line="360" w:lineRule="auto"/>
        <w:ind w:left="708"/>
        <w:jc w:val="center"/>
        <w:outlineLvl w:val="0"/>
        <w:rPr>
          <w:rFonts w:ascii="Times New Roman" w:eastAsia="Batang" w:hAnsi="Times New Roman" w:cs="Times New Roman"/>
          <w:b/>
          <w:sz w:val="36"/>
          <w:szCs w:val="36"/>
          <w:lang w:val="pl-PL" w:eastAsia="ko-KR"/>
        </w:rPr>
      </w:pPr>
    </w:p>
    <w:p w14:paraId="6D163AD2" w14:textId="77777777" w:rsidR="00BB14B4" w:rsidRPr="00C510C3" w:rsidRDefault="00BB14B4" w:rsidP="00BB14B4">
      <w:pPr>
        <w:spacing w:line="360" w:lineRule="auto"/>
        <w:rPr>
          <w:rFonts w:ascii="Arial" w:eastAsia="Times New Roman" w:hAnsi="Arial" w:cs="Arial"/>
          <w:b/>
          <w:i/>
          <w:color w:val="00853F"/>
          <w:sz w:val="36"/>
          <w:szCs w:val="36"/>
          <w:lang w:val="pl-PL"/>
        </w:rPr>
      </w:pPr>
    </w:p>
    <w:p w14:paraId="08DB7D02" w14:textId="0723614D" w:rsidR="00BB14B4" w:rsidRPr="0003637E" w:rsidRDefault="00BB14B4" w:rsidP="00C103F0">
      <w:pPr>
        <w:spacing w:after="0"/>
        <w:jc w:val="center"/>
        <w:rPr>
          <w:rFonts w:eastAsia="Cambria" w:cstheme="minorHAnsi"/>
          <w:b/>
          <w:color w:val="FF0000"/>
          <w:sz w:val="36"/>
          <w:szCs w:val="36"/>
          <w:lang w:val="pl-PL"/>
        </w:rPr>
      </w:pPr>
      <w:bookmarkStart w:id="0" w:name="_GoBack"/>
      <w:r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>WYTYCZNE</w:t>
      </w:r>
    </w:p>
    <w:p w14:paraId="4289A699" w14:textId="77777777" w:rsidR="0064004B" w:rsidRPr="0003637E" w:rsidRDefault="00BB14B4" w:rsidP="00C103F0">
      <w:pPr>
        <w:spacing w:after="0"/>
        <w:jc w:val="center"/>
        <w:rPr>
          <w:rFonts w:eastAsia="Cambria" w:cstheme="minorHAnsi"/>
          <w:b/>
          <w:color w:val="FF0000"/>
          <w:sz w:val="36"/>
          <w:szCs w:val="36"/>
          <w:lang w:val="pl-PL"/>
        </w:rPr>
      </w:pPr>
      <w:r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 xml:space="preserve">dotyczące </w:t>
      </w:r>
      <w:r w:rsidR="00C103F0"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 xml:space="preserve">stosowania </w:t>
      </w:r>
      <w:r w:rsidR="001F1023"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>reguł pochodzenia towarów</w:t>
      </w:r>
    </w:p>
    <w:p w14:paraId="31216574" w14:textId="341D0851" w:rsidR="00BB14B4" w:rsidRPr="0003637E" w:rsidRDefault="001F1023" w:rsidP="00C103F0">
      <w:pPr>
        <w:spacing w:after="0"/>
        <w:jc w:val="center"/>
        <w:rPr>
          <w:rFonts w:eastAsia="Cambria" w:cstheme="minorHAnsi"/>
          <w:b/>
          <w:color w:val="FF0000"/>
          <w:sz w:val="36"/>
          <w:szCs w:val="36"/>
          <w:lang w:val="pl-PL"/>
        </w:rPr>
      </w:pPr>
      <w:r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 xml:space="preserve">w </w:t>
      </w:r>
      <w:r w:rsidR="00C103F0"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>umow</w:t>
      </w:r>
      <w:r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>ie</w:t>
      </w:r>
      <w:r w:rsidR="0064004B"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 xml:space="preserve"> </w:t>
      </w:r>
      <w:r w:rsidR="00C103F0"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>o</w:t>
      </w:r>
      <w:r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 xml:space="preserve"> </w:t>
      </w:r>
      <w:r w:rsidR="00C103F0"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>wolny handlu UE-Wietnam</w:t>
      </w:r>
    </w:p>
    <w:p w14:paraId="693DF359" w14:textId="0D5A1D27" w:rsidR="00BB14B4" w:rsidRPr="0003637E" w:rsidRDefault="00615A3E" w:rsidP="00C103F0">
      <w:pPr>
        <w:spacing w:after="0"/>
        <w:jc w:val="center"/>
        <w:rPr>
          <w:rFonts w:eastAsia="Cambria" w:cstheme="minorHAnsi"/>
          <w:b/>
          <w:color w:val="FF0000"/>
          <w:sz w:val="36"/>
          <w:szCs w:val="36"/>
          <w:lang w:val="pl-PL"/>
        </w:rPr>
      </w:pPr>
      <w:r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>(</w:t>
      </w:r>
      <w:r w:rsidR="00C103F0" w:rsidRPr="0003637E">
        <w:rPr>
          <w:rFonts w:eastAsia="Cambria" w:cstheme="minorHAnsi"/>
          <w:b/>
          <w:color w:val="FF0000"/>
          <w:sz w:val="36"/>
          <w:szCs w:val="36"/>
          <w:lang w:val="pl-PL"/>
        </w:rPr>
        <w:t>EVFTA)</w:t>
      </w:r>
    </w:p>
    <w:bookmarkEnd w:id="0"/>
    <w:p w14:paraId="08AD7FDE" w14:textId="77777777" w:rsidR="00BB14B4" w:rsidRPr="0003637E" w:rsidRDefault="00BB14B4" w:rsidP="00C103F0">
      <w:pPr>
        <w:spacing w:line="360" w:lineRule="auto"/>
        <w:jc w:val="center"/>
        <w:rPr>
          <w:rFonts w:eastAsia="Times New Roman" w:cstheme="minorHAnsi"/>
          <w:b/>
          <w:i/>
          <w:color w:val="00853F"/>
          <w:sz w:val="36"/>
          <w:szCs w:val="36"/>
          <w:lang w:val="pl-PL"/>
        </w:rPr>
      </w:pPr>
    </w:p>
    <w:p w14:paraId="030F15A9" w14:textId="77777777" w:rsidR="00BB14B4" w:rsidRPr="0003637E" w:rsidRDefault="00BB14B4" w:rsidP="00BB14B4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36"/>
          <w:szCs w:val="36"/>
          <w:lang w:val="pl-PL"/>
        </w:rPr>
      </w:pPr>
    </w:p>
    <w:p w14:paraId="74BE95BC" w14:textId="77777777" w:rsidR="00BB14B4" w:rsidRPr="0003637E" w:rsidRDefault="00BB14B4" w:rsidP="00BB14B4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36"/>
          <w:szCs w:val="36"/>
          <w:lang w:val="pl-PL"/>
        </w:rPr>
      </w:pPr>
    </w:p>
    <w:p w14:paraId="4E8346FB" w14:textId="77777777" w:rsidR="00BB14B4" w:rsidRPr="0003637E" w:rsidRDefault="00BB14B4" w:rsidP="00BB14B4">
      <w:pPr>
        <w:widowControl w:val="0"/>
        <w:autoSpaceDE w:val="0"/>
        <w:autoSpaceDN w:val="0"/>
        <w:adjustRightInd w:val="0"/>
        <w:spacing w:after="0" w:line="360" w:lineRule="auto"/>
        <w:ind w:left="708"/>
        <w:jc w:val="center"/>
        <w:rPr>
          <w:rFonts w:eastAsia="Times New Roman" w:cstheme="minorHAnsi"/>
          <w:b/>
          <w:sz w:val="36"/>
          <w:szCs w:val="36"/>
          <w:lang w:val="pl-PL"/>
        </w:rPr>
      </w:pPr>
      <w:r w:rsidRPr="0003637E">
        <w:rPr>
          <w:rFonts w:eastAsia="Times New Roman" w:cstheme="minorHAnsi"/>
          <w:color w:val="ADAFB2"/>
          <w:sz w:val="36"/>
          <w:szCs w:val="36"/>
          <w:lang w:val="pl-PL"/>
        </w:rPr>
        <w:br/>
      </w:r>
    </w:p>
    <w:p w14:paraId="1D46FB5B" w14:textId="77777777" w:rsidR="00BB14B4" w:rsidRPr="0003637E" w:rsidRDefault="00BB14B4" w:rsidP="00BB14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36"/>
          <w:szCs w:val="36"/>
          <w:lang w:val="pl-PL"/>
        </w:rPr>
      </w:pPr>
    </w:p>
    <w:p w14:paraId="47258250" w14:textId="77777777" w:rsidR="00BB14B4" w:rsidRPr="0003637E" w:rsidRDefault="00BB14B4" w:rsidP="00BB14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sz w:val="36"/>
          <w:szCs w:val="36"/>
          <w:lang w:val="pl-PL"/>
        </w:rPr>
      </w:pPr>
    </w:p>
    <w:p w14:paraId="05051002" w14:textId="7FB17798" w:rsidR="00BB14B4" w:rsidRPr="0003637E" w:rsidRDefault="007D6FB3" w:rsidP="00BB14B4">
      <w:pPr>
        <w:spacing w:line="360" w:lineRule="auto"/>
        <w:ind w:left="708"/>
        <w:jc w:val="center"/>
        <w:outlineLvl w:val="0"/>
        <w:rPr>
          <w:rFonts w:eastAsia="Times New Roman" w:cstheme="minorHAnsi"/>
          <w:color w:val="808080"/>
          <w:sz w:val="28"/>
          <w:szCs w:val="28"/>
          <w:lang w:val="pl-PL"/>
        </w:rPr>
      </w:pPr>
      <w:r w:rsidRPr="0003637E">
        <w:rPr>
          <w:rFonts w:eastAsia="Times New Roman" w:cstheme="minorHAnsi"/>
          <w:b/>
          <w:color w:val="808080"/>
          <w:sz w:val="28"/>
          <w:szCs w:val="28"/>
          <w:lang w:val="pl-PL"/>
        </w:rPr>
        <w:t xml:space="preserve">Wersja: </w:t>
      </w:r>
      <w:r w:rsidR="00820389" w:rsidRPr="0003637E">
        <w:rPr>
          <w:rFonts w:eastAsia="Times New Roman" w:cstheme="minorHAnsi"/>
          <w:b/>
          <w:color w:val="808080"/>
          <w:sz w:val="28"/>
          <w:szCs w:val="28"/>
          <w:lang w:val="pl-PL"/>
        </w:rPr>
        <w:t>1</w:t>
      </w:r>
      <w:r w:rsidR="00BB14B4" w:rsidRPr="0003637E">
        <w:rPr>
          <w:rFonts w:eastAsia="Times New Roman" w:cstheme="minorHAnsi"/>
          <w:b/>
          <w:color w:val="808080"/>
          <w:sz w:val="28"/>
          <w:szCs w:val="28"/>
          <w:lang w:val="pl-PL"/>
        </w:rPr>
        <w:t>.</w:t>
      </w:r>
      <w:r w:rsidR="0003637E" w:rsidRPr="0003637E">
        <w:rPr>
          <w:rFonts w:eastAsia="Times New Roman" w:cstheme="minorHAnsi"/>
          <w:b/>
          <w:color w:val="808080"/>
          <w:sz w:val="28"/>
          <w:szCs w:val="28"/>
          <w:lang w:val="pl-PL"/>
        </w:rPr>
        <w:t>2</w:t>
      </w:r>
    </w:p>
    <w:p w14:paraId="2E43C125" w14:textId="77777777" w:rsidR="00BB14B4" w:rsidRPr="0003637E" w:rsidRDefault="00BB14B4" w:rsidP="00BB14B4">
      <w:pPr>
        <w:spacing w:before="100" w:beforeAutospacing="1" w:after="0" w:line="360" w:lineRule="auto"/>
        <w:outlineLvl w:val="0"/>
        <w:rPr>
          <w:rFonts w:eastAsia="Batang" w:cstheme="minorHAnsi"/>
          <w:b/>
          <w:sz w:val="36"/>
          <w:szCs w:val="36"/>
          <w:lang w:val="pl-PL" w:eastAsia="ko-KR"/>
        </w:rPr>
      </w:pPr>
    </w:p>
    <w:p w14:paraId="7F4C45AD" w14:textId="010FFE15" w:rsidR="00BB14B4" w:rsidRPr="0003637E" w:rsidRDefault="0003637E" w:rsidP="00AA1A38">
      <w:pPr>
        <w:widowControl w:val="0"/>
        <w:autoSpaceDE w:val="0"/>
        <w:autoSpaceDN w:val="0"/>
        <w:adjustRightInd w:val="0"/>
        <w:spacing w:after="280" w:line="360" w:lineRule="auto"/>
        <w:ind w:left="708"/>
        <w:jc w:val="center"/>
        <w:rPr>
          <w:rFonts w:eastAsia="Times New Roman" w:cstheme="minorHAnsi"/>
          <w:b/>
          <w:sz w:val="32"/>
          <w:szCs w:val="32"/>
          <w:lang w:val="pl-PL"/>
        </w:rPr>
      </w:pPr>
      <w:r>
        <w:rPr>
          <w:rFonts w:eastAsia="Times New Roman" w:cstheme="minorHAnsi"/>
          <w:b/>
          <w:sz w:val="32"/>
          <w:szCs w:val="32"/>
          <w:lang w:val="pl-PL"/>
        </w:rPr>
        <w:t>listopad</w:t>
      </w:r>
      <w:r w:rsidR="0024497C" w:rsidRPr="0003637E">
        <w:rPr>
          <w:rFonts w:eastAsia="Times New Roman" w:cstheme="minorHAnsi"/>
          <w:b/>
          <w:sz w:val="32"/>
          <w:szCs w:val="32"/>
          <w:lang w:val="pl-PL"/>
        </w:rPr>
        <w:t>, 2</w:t>
      </w:r>
      <w:r w:rsidR="00074824" w:rsidRPr="0003637E">
        <w:rPr>
          <w:rFonts w:eastAsia="Times New Roman" w:cstheme="minorHAnsi"/>
          <w:b/>
          <w:sz w:val="32"/>
          <w:szCs w:val="32"/>
          <w:lang w:val="pl-PL"/>
        </w:rPr>
        <w:t>02</w:t>
      </w:r>
      <w:r>
        <w:rPr>
          <w:rFonts w:eastAsia="Times New Roman" w:cstheme="minorHAnsi"/>
          <w:b/>
          <w:sz w:val="32"/>
          <w:szCs w:val="32"/>
          <w:lang w:val="pl-PL"/>
        </w:rPr>
        <w:t>1</w:t>
      </w:r>
    </w:p>
    <w:p w14:paraId="28915377" w14:textId="77777777" w:rsidR="00FA08A9" w:rsidRDefault="00074824" w:rsidP="00C103F0">
      <w:pPr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C510C3">
        <w:rPr>
          <w:rFonts w:ascii="Arial" w:eastAsia="Times New Roman" w:hAnsi="Arial" w:cs="Arial"/>
          <w:b/>
          <w:sz w:val="24"/>
          <w:szCs w:val="24"/>
          <w:lang w:val="pl-PL"/>
        </w:rPr>
        <w:lastRenderedPageBreak/>
        <w:br w:type="page"/>
      </w:r>
    </w:p>
    <w:p w14:paraId="1079F14A" w14:textId="668BF10F" w:rsidR="00FA08A9" w:rsidRPr="0003637E" w:rsidRDefault="00FA08A9" w:rsidP="0003637E">
      <w:pPr>
        <w:rPr>
          <w:rFonts w:eastAsia="Times New Roman" w:cstheme="minorHAnsi"/>
          <w:b/>
          <w:sz w:val="24"/>
          <w:szCs w:val="24"/>
          <w:lang w:val="pl-PL"/>
        </w:rPr>
      </w:pPr>
      <w:r w:rsidRPr="0003637E">
        <w:rPr>
          <w:rFonts w:eastAsia="Times New Roman" w:cstheme="minorHAnsi"/>
          <w:b/>
          <w:sz w:val="24"/>
          <w:szCs w:val="24"/>
          <w:lang w:val="pl-PL"/>
        </w:rPr>
        <w:lastRenderedPageBreak/>
        <w:t>WPROWADZENIE</w:t>
      </w:r>
    </w:p>
    <w:p w14:paraId="089F45E5" w14:textId="2492B58F" w:rsidR="00B4395B" w:rsidRPr="0003637E" w:rsidRDefault="006C33B2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U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>mow</w:t>
      </w:r>
      <w:r w:rsidR="00110455" w:rsidRPr="0003637E">
        <w:rPr>
          <w:rFonts w:eastAsia="Times New Roman" w:cstheme="minorHAnsi"/>
          <w:sz w:val="24"/>
          <w:szCs w:val="24"/>
          <w:lang w:val="pl-PL"/>
        </w:rPr>
        <w:t>a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 xml:space="preserve"> o utworzeniu strefy wolnego handlu pomiędzy U</w:t>
      </w:r>
      <w:r w:rsidR="006774E5" w:rsidRPr="0003637E">
        <w:rPr>
          <w:rFonts w:eastAsia="Times New Roman" w:cstheme="minorHAnsi"/>
          <w:sz w:val="24"/>
          <w:szCs w:val="24"/>
          <w:lang w:val="pl-PL"/>
        </w:rPr>
        <w:t xml:space="preserve">nią Europejską </w:t>
      </w:r>
      <w:r w:rsidR="00B4395B" w:rsidRPr="0003637E">
        <w:rPr>
          <w:rFonts w:eastAsia="Times New Roman" w:cstheme="minorHAnsi"/>
          <w:sz w:val="24"/>
          <w:szCs w:val="24"/>
          <w:lang w:val="pl-PL"/>
        </w:rPr>
        <w:t>i</w:t>
      </w:r>
      <w:r w:rsidR="006774E5" w:rsidRPr="0003637E">
        <w:rPr>
          <w:rFonts w:eastAsia="Times New Roman" w:cstheme="minorHAnsi"/>
          <w:sz w:val="24"/>
          <w:szCs w:val="24"/>
          <w:lang w:val="pl-PL"/>
        </w:rPr>
        <w:t xml:space="preserve"> Wietnamem</w:t>
      </w:r>
      <w:r w:rsidR="00B4395B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B4395B" w:rsidRPr="0003637E">
        <w:rPr>
          <w:rFonts w:eastAsia="Times New Roman" w:cstheme="minorHAnsi"/>
          <w:b/>
          <w:sz w:val="24"/>
          <w:szCs w:val="24"/>
          <w:lang w:val="pl-PL"/>
        </w:rPr>
        <w:t>weszła w życie w dniu 1 sierpnia 2020 r</w:t>
      </w:r>
      <w:r w:rsidR="00B4395B" w:rsidRPr="0003637E">
        <w:rPr>
          <w:rFonts w:eastAsia="Times New Roman" w:cstheme="minorHAnsi"/>
          <w:sz w:val="24"/>
          <w:szCs w:val="24"/>
          <w:lang w:val="pl-PL"/>
        </w:rPr>
        <w:t>.</w:t>
      </w:r>
      <w:r w:rsidR="00B4395B" w:rsidRPr="0003637E">
        <w:rPr>
          <w:rFonts w:cstheme="minorHAnsi"/>
          <w:sz w:val="24"/>
          <w:szCs w:val="24"/>
          <w:lang w:val="pl-PL"/>
        </w:rPr>
        <w:t xml:space="preserve"> </w:t>
      </w:r>
      <w:r w:rsidR="00B4395B" w:rsidRPr="0003637E">
        <w:rPr>
          <w:rStyle w:val="Odwoanieprzypisudolnego"/>
          <w:rFonts w:cstheme="minorHAnsi"/>
          <w:sz w:val="24"/>
          <w:szCs w:val="24"/>
          <w:lang w:val="pl-PL"/>
        </w:rPr>
        <w:footnoteReference w:id="1"/>
      </w:r>
    </w:p>
    <w:p w14:paraId="1A41778E" w14:textId="564D6A6D" w:rsidR="009215E5" w:rsidRPr="0003637E" w:rsidRDefault="006774E5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W 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>wyniku porozumienia zniesione zosta</w:t>
      </w:r>
      <w:r w:rsidR="00BB5162" w:rsidRPr="0003637E">
        <w:rPr>
          <w:rFonts w:eastAsia="Times New Roman" w:cstheme="minorHAnsi"/>
          <w:sz w:val="24"/>
          <w:szCs w:val="24"/>
          <w:lang w:val="pl-PL"/>
        </w:rPr>
        <w:t>ły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 xml:space="preserve"> niemal wszystkie ograniczenia celne dla wzajemnej wymiany handlowej. Umowa zakłada ostateczną (docelową) liberalizację ceł dla 99 % obrotu handlowego </w:t>
      </w:r>
      <w:r w:rsidRPr="0003637E">
        <w:rPr>
          <w:rFonts w:eastAsia="Times New Roman" w:cstheme="minorHAnsi"/>
          <w:sz w:val="24"/>
          <w:szCs w:val="24"/>
          <w:lang w:val="pl-PL"/>
        </w:rPr>
        <w:t>pomiędzy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 xml:space="preserve"> UE i Wietnamem. W chwili wejścia </w:t>
      </w:r>
      <w:r w:rsidR="006C33B2" w:rsidRPr="0003637E">
        <w:rPr>
          <w:rFonts w:eastAsia="Times New Roman" w:cstheme="minorHAnsi"/>
          <w:sz w:val="24"/>
          <w:szCs w:val="24"/>
          <w:lang w:val="pl-PL"/>
        </w:rPr>
        <w:t>U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>mowy w życie Wietnam zliberaliz</w:t>
      </w:r>
      <w:r w:rsidR="00B4395B" w:rsidRPr="0003637E">
        <w:rPr>
          <w:rFonts w:eastAsia="Times New Roman" w:cstheme="minorHAnsi"/>
          <w:sz w:val="24"/>
          <w:szCs w:val="24"/>
          <w:lang w:val="pl-PL"/>
        </w:rPr>
        <w:t>ował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 xml:space="preserve"> ponad 65% stawek na przywóz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towarów 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 xml:space="preserve">z UE, </w:t>
      </w:r>
      <w:r w:rsidR="00AA1A38" w:rsidRPr="0003637E">
        <w:rPr>
          <w:rFonts w:eastAsia="Times New Roman" w:cstheme="minorHAnsi"/>
          <w:sz w:val="24"/>
          <w:szCs w:val="24"/>
          <w:lang w:val="pl-PL"/>
        </w:rPr>
        <w:t>a 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 xml:space="preserve">pozostałe zobowiązania zostaną zrealizowane w okresie przejściowym </w:t>
      </w:r>
      <w:r w:rsidR="0064004B" w:rsidRPr="0003637E">
        <w:rPr>
          <w:rFonts w:eastAsia="Times New Roman" w:cstheme="minorHAnsi"/>
          <w:sz w:val="24"/>
          <w:szCs w:val="24"/>
          <w:lang w:val="pl-PL"/>
        </w:rPr>
        <w:t xml:space="preserve">trwającym 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>do 10 lat. U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nia 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>E</w:t>
      </w:r>
      <w:r w:rsidRPr="0003637E">
        <w:rPr>
          <w:rFonts w:eastAsia="Times New Roman" w:cstheme="minorHAnsi"/>
          <w:sz w:val="24"/>
          <w:szCs w:val="24"/>
          <w:lang w:val="pl-PL"/>
        </w:rPr>
        <w:t>uropejska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 xml:space="preserve"> także stosuje okresy przejściowe </w:t>
      </w:r>
      <w:r w:rsidRPr="0003637E">
        <w:rPr>
          <w:rFonts w:eastAsia="Times New Roman" w:cstheme="minorHAnsi"/>
          <w:sz w:val="24"/>
          <w:szCs w:val="24"/>
          <w:lang w:val="pl-PL"/>
        </w:rPr>
        <w:t>(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>do 7 lat</w:t>
      </w:r>
      <w:r w:rsidRPr="0003637E">
        <w:rPr>
          <w:rFonts w:eastAsia="Times New Roman" w:cstheme="minorHAnsi"/>
          <w:sz w:val="24"/>
          <w:szCs w:val="24"/>
          <w:lang w:val="pl-PL"/>
        </w:rPr>
        <w:t>)</w:t>
      </w:r>
      <w:r w:rsidR="009215E5" w:rsidRPr="0003637E">
        <w:rPr>
          <w:rFonts w:eastAsia="Times New Roman" w:cstheme="minorHAnsi"/>
          <w:sz w:val="24"/>
          <w:szCs w:val="24"/>
          <w:lang w:val="pl-PL"/>
        </w:rPr>
        <w:t xml:space="preserve"> dla najbardziej wrażliwych towarów, takich jak wyroby włókiennicze i obuwie.</w:t>
      </w:r>
    </w:p>
    <w:p w14:paraId="1732B665" w14:textId="2E05A0B4" w:rsidR="009215E5" w:rsidRPr="0003637E" w:rsidRDefault="009215E5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lastRenderedPageBreak/>
        <w:t>W kontekście najistotniejszych produktów eksportowanych z Polski do Wietnamu, najbardziej korzystne zmiany obejm</w:t>
      </w:r>
      <w:r w:rsidR="00C77A38" w:rsidRPr="0003637E">
        <w:rPr>
          <w:rFonts w:eastAsia="Times New Roman" w:cstheme="minorHAnsi"/>
          <w:sz w:val="24"/>
          <w:szCs w:val="24"/>
          <w:lang w:val="pl-PL"/>
        </w:rPr>
        <w:t>uj</w:t>
      </w:r>
      <w:r w:rsidRPr="0003637E">
        <w:rPr>
          <w:rFonts w:eastAsia="Times New Roman" w:cstheme="minorHAnsi"/>
          <w:sz w:val="24"/>
          <w:szCs w:val="24"/>
          <w:lang w:val="pl-PL"/>
        </w:rPr>
        <w:t>ą m.in. nabiał, leki, ryby, maszyny i urządzenia. Uwolniony zosta</w:t>
      </w:r>
      <w:r w:rsidR="00C77A38" w:rsidRPr="0003637E">
        <w:rPr>
          <w:rFonts w:eastAsia="Times New Roman" w:cstheme="minorHAnsi"/>
          <w:sz w:val="24"/>
          <w:szCs w:val="24"/>
          <w:lang w:val="pl-PL"/>
        </w:rPr>
        <w:t>ł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również obrót usługami, takimi jak: usługi dla biznesu, finansowe, pocztowe, ubezpieczeniowe, usługi w dziedzinie badań i rozwoju, a także szereg innych. Umowa otwiera stronom również dostęp d</w:t>
      </w:r>
      <w:r w:rsidR="006774E5" w:rsidRPr="0003637E">
        <w:rPr>
          <w:rFonts w:eastAsia="Times New Roman" w:cstheme="minorHAnsi"/>
          <w:sz w:val="24"/>
          <w:szCs w:val="24"/>
          <w:lang w:val="pl-PL"/>
        </w:rPr>
        <w:t>o rynku zamówień publicznych</w:t>
      </w:r>
      <w:r w:rsidRPr="0003637E">
        <w:rPr>
          <w:rFonts w:eastAsia="Times New Roman" w:cstheme="minorHAnsi"/>
          <w:sz w:val="24"/>
          <w:szCs w:val="24"/>
          <w:lang w:val="pl-PL"/>
        </w:rPr>
        <w:t>.</w:t>
      </w:r>
    </w:p>
    <w:p w14:paraId="5327D3A2" w14:textId="6B8F9423" w:rsidR="009215E5" w:rsidRPr="0003637E" w:rsidRDefault="009215E5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Decyzja Rady (UE) 2020/753 z dnia 30 marca 202</w:t>
      </w:r>
      <w:r w:rsidR="006774E5" w:rsidRPr="0003637E">
        <w:rPr>
          <w:rFonts w:eastAsia="Times New Roman" w:cstheme="minorHAnsi"/>
          <w:sz w:val="24"/>
          <w:szCs w:val="24"/>
          <w:lang w:val="pl-PL"/>
        </w:rPr>
        <w:t>0 r. w sprawie zawarcia Umowy o </w:t>
      </w:r>
      <w:r w:rsidRPr="0003637E">
        <w:rPr>
          <w:rFonts w:eastAsia="Times New Roman" w:cstheme="minorHAnsi"/>
          <w:sz w:val="24"/>
          <w:szCs w:val="24"/>
          <w:lang w:val="pl-PL"/>
        </w:rPr>
        <w:t>wolnym handlu między Unią Europejską a Socjalistyczną Republiką Wietnamu została opublikowana</w:t>
      </w:r>
      <w:r w:rsidRPr="0003637E">
        <w:rPr>
          <w:rFonts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>w Dz. Urz. UE L 186 z 12.06.2020 r.</w:t>
      </w:r>
      <w:r w:rsidR="006774E5" w:rsidRPr="0003637E">
        <w:rPr>
          <w:rFonts w:eastAsia="Times New Roman" w:cstheme="minorHAnsi"/>
          <w:sz w:val="24"/>
          <w:szCs w:val="24"/>
          <w:lang w:val="pl-PL"/>
        </w:rPr>
        <w:t xml:space="preserve"> Kwestie zasad ustalania pochodzenia towarów oraz jego dokumentowania ok</w:t>
      </w:r>
      <w:r w:rsidR="006C33B2" w:rsidRPr="0003637E">
        <w:rPr>
          <w:rFonts w:eastAsia="Times New Roman" w:cstheme="minorHAnsi"/>
          <w:sz w:val="24"/>
          <w:szCs w:val="24"/>
          <w:lang w:val="pl-PL"/>
        </w:rPr>
        <w:t>reślają postanowienia Protokołu </w:t>
      </w:r>
      <w:r w:rsidR="006774E5" w:rsidRPr="0003637E">
        <w:rPr>
          <w:rFonts w:eastAsia="Times New Roman" w:cstheme="minorHAnsi"/>
          <w:sz w:val="24"/>
          <w:szCs w:val="24"/>
          <w:lang w:val="pl-PL"/>
        </w:rPr>
        <w:t xml:space="preserve">1 </w:t>
      </w:r>
      <w:r w:rsidR="006C33B2" w:rsidRPr="0003637E">
        <w:rPr>
          <w:rFonts w:eastAsia="Times New Roman" w:cstheme="minorHAnsi"/>
          <w:sz w:val="24"/>
          <w:szCs w:val="24"/>
          <w:lang w:val="pl-PL"/>
        </w:rPr>
        <w:t>tej Umowy (str. 1319).</w:t>
      </w:r>
    </w:p>
    <w:p w14:paraId="0FD67977" w14:textId="77777777" w:rsidR="009215E5" w:rsidRPr="0003637E" w:rsidRDefault="009215E5" w:rsidP="0003637E">
      <w:pPr>
        <w:rPr>
          <w:rFonts w:eastAsia="Times New Roman" w:cstheme="minorHAnsi"/>
          <w:sz w:val="24"/>
          <w:szCs w:val="24"/>
          <w:lang w:val="pl-PL"/>
        </w:rPr>
      </w:pPr>
    </w:p>
    <w:p w14:paraId="492EEB6B" w14:textId="248B9E44" w:rsidR="009C4717" w:rsidRPr="0003637E" w:rsidRDefault="005B2D27" w:rsidP="0003637E">
      <w:pPr>
        <w:rPr>
          <w:rFonts w:eastAsia="Times New Roman" w:cstheme="minorHAnsi"/>
          <w:b/>
          <w:sz w:val="24"/>
          <w:szCs w:val="24"/>
          <w:lang w:val="pl-PL"/>
        </w:rPr>
      </w:pPr>
      <w:r w:rsidRPr="0003637E">
        <w:rPr>
          <w:rFonts w:eastAsia="Times New Roman" w:cstheme="minorHAnsi"/>
          <w:b/>
          <w:sz w:val="24"/>
          <w:szCs w:val="24"/>
          <w:lang w:val="pl-PL"/>
        </w:rPr>
        <w:t xml:space="preserve">I. </w:t>
      </w:r>
      <w:r w:rsidR="00C103F0" w:rsidRPr="0003637E">
        <w:rPr>
          <w:rFonts w:eastAsia="Times New Roman" w:cstheme="minorHAnsi"/>
          <w:b/>
          <w:sz w:val="24"/>
          <w:szCs w:val="24"/>
          <w:lang w:val="pl-PL"/>
        </w:rPr>
        <w:t xml:space="preserve">Dowód pochodzenia </w:t>
      </w:r>
      <w:r w:rsidR="001D39F4" w:rsidRPr="0003637E">
        <w:rPr>
          <w:rFonts w:eastAsia="Times New Roman" w:cstheme="minorHAnsi"/>
          <w:b/>
          <w:sz w:val="24"/>
          <w:szCs w:val="24"/>
          <w:lang w:val="pl-PL"/>
        </w:rPr>
        <w:t xml:space="preserve">dla </w:t>
      </w:r>
      <w:r w:rsidR="00C103F0" w:rsidRPr="0003637E">
        <w:rPr>
          <w:rFonts w:eastAsia="Times New Roman" w:cstheme="minorHAnsi"/>
          <w:b/>
          <w:sz w:val="24"/>
          <w:szCs w:val="24"/>
          <w:lang w:val="pl-PL"/>
        </w:rPr>
        <w:t>produktów pochodzących z U</w:t>
      </w:r>
      <w:r w:rsidRPr="0003637E">
        <w:rPr>
          <w:rFonts w:eastAsia="Times New Roman" w:cstheme="minorHAnsi"/>
          <w:b/>
          <w:sz w:val="24"/>
          <w:szCs w:val="24"/>
          <w:lang w:val="pl-PL"/>
        </w:rPr>
        <w:t xml:space="preserve">nii </w:t>
      </w:r>
      <w:r w:rsidR="00C103F0" w:rsidRPr="0003637E">
        <w:rPr>
          <w:rFonts w:eastAsia="Times New Roman" w:cstheme="minorHAnsi"/>
          <w:b/>
          <w:sz w:val="24"/>
          <w:szCs w:val="24"/>
          <w:lang w:val="pl-PL"/>
        </w:rPr>
        <w:t>E</w:t>
      </w:r>
      <w:r w:rsidRPr="0003637E">
        <w:rPr>
          <w:rFonts w:eastAsia="Times New Roman" w:cstheme="minorHAnsi"/>
          <w:b/>
          <w:sz w:val="24"/>
          <w:szCs w:val="24"/>
          <w:lang w:val="pl-PL"/>
        </w:rPr>
        <w:t>uropejskiej</w:t>
      </w:r>
      <w:r w:rsidR="00C103F0" w:rsidRPr="0003637E">
        <w:rPr>
          <w:rFonts w:eastAsia="Times New Roman" w:cstheme="minorHAnsi"/>
          <w:b/>
          <w:sz w:val="24"/>
          <w:szCs w:val="24"/>
          <w:lang w:val="pl-PL"/>
        </w:rPr>
        <w:t xml:space="preserve"> wywożonych do Wietnamu</w:t>
      </w:r>
    </w:p>
    <w:p w14:paraId="2EC60C28" w14:textId="66B9DA2B" w:rsidR="007F162C" w:rsidRPr="0003637E" w:rsidRDefault="007F162C" w:rsidP="0003637E">
      <w:pPr>
        <w:pStyle w:val="Akapitzlist"/>
        <w:numPr>
          <w:ilvl w:val="0"/>
          <w:numId w:val="34"/>
        </w:numPr>
        <w:ind w:left="567" w:hanging="567"/>
        <w:rPr>
          <w:rFonts w:eastAsia="Times New Roman" w:cstheme="minorHAnsi"/>
          <w:sz w:val="24"/>
          <w:szCs w:val="24"/>
          <w:u w:val="single"/>
          <w:lang w:val="pl-PL"/>
        </w:rPr>
      </w:pP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>System zarejestrowanych eksporterów REX</w:t>
      </w:r>
    </w:p>
    <w:p w14:paraId="67715D52" w14:textId="31BB1CC9" w:rsidR="00C103F0" w:rsidRPr="0003637E" w:rsidRDefault="00C103F0" w:rsidP="00503222">
      <w:pPr>
        <w:rPr>
          <w:lang w:val="pl-PL"/>
        </w:rPr>
      </w:pPr>
      <w:r w:rsidRPr="0003637E">
        <w:rPr>
          <w:lang w:val="pl-PL"/>
        </w:rPr>
        <w:lastRenderedPageBreak/>
        <w:t xml:space="preserve">Artykuł 15 ust. 1 lit. </w:t>
      </w:r>
      <w:r w:rsidR="007A5AB4" w:rsidRPr="0003637E">
        <w:rPr>
          <w:lang w:val="pl-PL"/>
        </w:rPr>
        <w:t>(</w:t>
      </w:r>
      <w:r w:rsidRPr="0003637E">
        <w:rPr>
          <w:lang w:val="pl-PL"/>
        </w:rPr>
        <w:t xml:space="preserve">c) </w:t>
      </w:r>
      <w:r w:rsidR="007F162C" w:rsidRPr="0003637E">
        <w:rPr>
          <w:lang w:val="pl-PL"/>
        </w:rPr>
        <w:t>P</w:t>
      </w:r>
      <w:r w:rsidRPr="0003637E">
        <w:rPr>
          <w:lang w:val="pl-PL"/>
        </w:rPr>
        <w:t xml:space="preserve">rotokołu </w:t>
      </w:r>
      <w:r w:rsidR="006E1969" w:rsidRPr="0003637E">
        <w:rPr>
          <w:lang w:val="pl-PL"/>
        </w:rPr>
        <w:t xml:space="preserve">1 do </w:t>
      </w:r>
      <w:r w:rsidR="009166DD" w:rsidRPr="0003637E">
        <w:rPr>
          <w:lang w:val="pl-PL"/>
        </w:rPr>
        <w:t>Umowy o wolnym handlu między Unią Europejską a Socjalistyczną Republiką Wietnamu (</w:t>
      </w:r>
      <w:r w:rsidR="000E20B6" w:rsidRPr="0003637E">
        <w:rPr>
          <w:lang w:val="pl-PL"/>
        </w:rPr>
        <w:t>„</w:t>
      </w:r>
      <w:r w:rsidRPr="0003637E">
        <w:rPr>
          <w:lang w:val="pl-PL"/>
        </w:rPr>
        <w:t>EVFTA</w:t>
      </w:r>
      <w:r w:rsidR="000E20B6" w:rsidRPr="0003637E">
        <w:rPr>
          <w:lang w:val="pl-PL"/>
        </w:rPr>
        <w:t>”</w:t>
      </w:r>
      <w:r w:rsidR="009166DD" w:rsidRPr="0003637E">
        <w:rPr>
          <w:lang w:val="pl-PL"/>
        </w:rPr>
        <w:t>)</w:t>
      </w:r>
      <w:r w:rsidRPr="0003637E">
        <w:rPr>
          <w:lang w:val="pl-PL"/>
        </w:rPr>
        <w:t xml:space="preserve"> stanowi, że </w:t>
      </w:r>
      <w:r w:rsidR="006E1969" w:rsidRPr="0003637E">
        <w:rPr>
          <w:lang w:val="pl-PL"/>
        </w:rPr>
        <w:t>przy przywozie do Wietnamu produkty pochodzące z Unii uznaje się za objęte postanowieniami Umowy p</w:t>
      </w:r>
      <w:r w:rsidR="00503222">
        <w:rPr>
          <w:lang w:val="pl-PL"/>
        </w:rPr>
        <w:t>o przedstawieniu oświadczenia o </w:t>
      </w:r>
      <w:r w:rsidR="006E1969" w:rsidRPr="0003637E">
        <w:rPr>
          <w:lang w:val="pl-PL"/>
        </w:rPr>
        <w:t>pochodzeniu sporządzonego przez eksporter</w:t>
      </w:r>
      <w:r w:rsidR="007F162C" w:rsidRPr="0003637E">
        <w:rPr>
          <w:lang w:val="pl-PL"/>
        </w:rPr>
        <w:t>a</w:t>
      </w:r>
      <w:r w:rsidR="006E1969" w:rsidRPr="0003637E">
        <w:rPr>
          <w:lang w:val="pl-PL"/>
        </w:rPr>
        <w:t xml:space="preserve"> zarejestrowan</w:t>
      </w:r>
      <w:r w:rsidR="007F162C" w:rsidRPr="0003637E">
        <w:rPr>
          <w:lang w:val="pl-PL"/>
        </w:rPr>
        <w:t>ego</w:t>
      </w:r>
      <w:r w:rsidR="006E1969" w:rsidRPr="0003637E">
        <w:rPr>
          <w:lang w:val="pl-PL"/>
        </w:rPr>
        <w:t xml:space="preserve"> w </w:t>
      </w:r>
      <w:r w:rsidR="00844EB3" w:rsidRPr="0003637E">
        <w:rPr>
          <w:lang w:val="pl-PL"/>
        </w:rPr>
        <w:t>elektronicznej bazie danych</w:t>
      </w:r>
      <w:r w:rsidR="00102468" w:rsidRPr="0003637E">
        <w:rPr>
          <w:lang w:val="pl-PL"/>
        </w:rPr>
        <w:t>,</w:t>
      </w:r>
      <w:r w:rsidR="006E1969" w:rsidRPr="0003637E">
        <w:rPr>
          <w:lang w:val="pl-PL"/>
        </w:rPr>
        <w:t xml:space="preserve"> </w:t>
      </w:r>
      <w:r w:rsidR="00102468" w:rsidRPr="0003637E">
        <w:rPr>
          <w:lang w:val="pl-PL"/>
        </w:rPr>
        <w:t>zgodnie z</w:t>
      </w:r>
      <w:r w:rsidR="00844EB3" w:rsidRPr="0003637E">
        <w:rPr>
          <w:lang w:val="pl-PL"/>
        </w:rPr>
        <w:t xml:space="preserve"> </w:t>
      </w:r>
      <w:r w:rsidR="006E1969" w:rsidRPr="0003637E">
        <w:rPr>
          <w:lang w:val="pl-PL"/>
        </w:rPr>
        <w:t xml:space="preserve">odpowiednim prawodawstwem Unii, po powiadomieniu </w:t>
      </w:r>
      <w:r w:rsidR="00E00DC3" w:rsidRPr="0003637E">
        <w:rPr>
          <w:lang w:val="pl-PL"/>
        </w:rPr>
        <w:t xml:space="preserve">przez Unię </w:t>
      </w:r>
      <w:r w:rsidR="006E1969" w:rsidRPr="0003637E">
        <w:rPr>
          <w:lang w:val="pl-PL"/>
        </w:rPr>
        <w:t>Wietnamu, że takie prawodawstwo ma zastosowanie do jej eksporterów.</w:t>
      </w:r>
      <w:r w:rsidR="00844EB3" w:rsidRPr="0003637E">
        <w:rPr>
          <w:lang w:val="pl-PL"/>
        </w:rPr>
        <w:t xml:space="preserve"> </w:t>
      </w:r>
      <w:r w:rsidR="00761959" w:rsidRPr="0003637E">
        <w:rPr>
          <w:lang w:val="pl-PL"/>
        </w:rPr>
        <w:t>W UE odpowiednie przepisy</w:t>
      </w:r>
      <w:r w:rsidR="0052360C" w:rsidRPr="0003637E">
        <w:rPr>
          <w:lang w:val="pl-PL"/>
        </w:rPr>
        <w:t xml:space="preserve"> dotyczące </w:t>
      </w:r>
      <w:r w:rsidRPr="0003637E">
        <w:rPr>
          <w:lang w:val="pl-PL"/>
        </w:rPr>
        <w:t>rejestracji eksporterów w</w:t>
      </w:r>
      <w:r w:rsidR="00503222">
        <w:rPr>
          <w:lang w:val="pl-PL"/>
        </w:rPr>
        <w:t> </w:t>
      </w:r>
      <w:r w:rsidRPr="0003637E">
        <w:rPr>
          <w:lang w:val="pl-PL"/>
        </w:rPr>
        <w:t>elektronicznej bazie zare</w:t>
      </w:r>
      <w:r w:rsidR="0052360C" w:rsidRPr="0003637E">
        <w:rPr>
          <w:lang w:val="pl-PL"/>
        </w:rPr>
        <w:t>jestrowanych eksporterów (REX) to art. 68 UKC-</w:t>
      </w:r>
      <w:r w:rsidR="001419E1" w:rsidRPr="0003637E">
        <w:rPr>
          <w:lang w:val="pl-PL"/>
        </w:rPr>
        <w:t xml:space="preserve">RW </w:t>
      </w:r>
      <w:r w:rsidR="001419E1" w:rsidRPr="0003637E">
        <w:rPr>
          <w:rStyle w:val="Odwoanieprzypisudolnego"/>
          <w:rFonts w:eastAsia="Times New Roman" w:cstheme="minorHAnsi"/>
          <w:sz w:val="24"/>
          <w:szCs w:val="24"/>
          <w:lang w:val="pl-PL"/>
        </w:rPr>
        <w:footnoteReference w:id="2"/>
      </w:r>
      <w:r w:rsidR="001419E1" w:rsidRPr="0003637E">
        <w:rPr>
          <w:lang w:val="pl-PL"/>
        </w:rPr>
        <w:t xml:space="preserve"> </w:t>
      </w:r>
      <w:r w:rsidR="00503222">
        <w:rPr>
          <w:lang w:val="pl-PL"/>
        </w:rPr>
        <w:t>, a w </w:t>
      </w:r>
      <w:r w:rsidR="0052360C" w:rsidRPr="0003637E">
        <w:rPr>
          <w:lang w:val="pl-PL"/>
        </w:rPr>
        <w:t>szczególności ust. 1 tego artykułu.</w:t>
      </w:r>
    </w:p>
    <w:p w14:paraId="27BA4B1C" w14:textId="57B68302" w:rsidR="00844EB3" w:rsidRPr="0003637E" w:rsidRDefault="00102468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Unia Europejska powiadomiła </w:t>
      </w:r>
      <w:r w:rsidR="00844EB3" w:rsidRPr="0003637E">
        <w:rPr>
          <w:rFonts w:eastAsia="Times New Roman" w:cstheme="minorHAnsi"/>
          <w:sz w:val="24"/>
          <w:szCs w:val="24"/>
          <w:lang w:val="pl-PL"/>
        </w:rPr>
        <w:t>stronę w</w:t>
      </w:r>
      <w:r w:rsidRPr="0003637E">
        <w:rPr>
          <w:rFonts w:eastAsia="Times New Roman" w:cstheme="minorHAnsi"/>
          <w:sz w:val="24"/>
          <w:szCs w:val="24"/>
          <w:lang w:val="pl-PL"/>
        </w:rPr>
        <w:t>ietnam</w:t>
      </w:r>
      <w:r w:rsidR="00844EB3" w:rsidRPr="0003637E">
        <w:rPr>
          <w:rFonts w:eastAsia="Times New Roman" w:cstheme="minorHAnsi"/>
          <w:sz w:val="24"/>
          <w:szCs w:val="24"/>
          <w:lang w:val="pl-PL"/>
        </w:rPr>
        <w:t>ską,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że art. 15 ust. 1 lit. (c) Protokołu 1 </w:t>
      </w:r>
      <w:r w:rsidR="00F95261" w:rsidRPr="0003637E">
        <w:rPr>
          <w:rFonts w:eastAsia="Times New Roman" w:cstheme="minorHAnsi"/>
          <w:sz w:val="24"/>
          <w:szCs w:val="24"/>
          <w:lang w:val="pl-PL"/>
        </w:rPr>
        <w:t xml:space="preserve">(oświadczenie o pochodzeniu)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będzie miał zastosowanie </w:t>
      </w:r>
      <w:r w:rsidR="00844EB3" w:rsidRPr="0003637E">
        <w:rPr>
          <w:rFonts w:eastAsia="Times New Roman" w:cstheme="minorHAnsi"/>
          <w:sz w:val="24"/>
          <w:szCs w:val="24"/>
          <w:lang w:val="pl-PL"/>
        </w:rPr>
        <w:t xml:space="preserve">do unijnych eksporterów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od dnia wejścia w życie </w:t>
      </w:r>
      <w:r w:rsidRPr="0003637E">
        <w:rPr>
          <w:rFonts w:eastAsia="Times New Roman" w:cstheme="minorHAnsi"/>
          <w:sz w:val="24"/>
          <w:szCs w:val="24"/>
          <w:lang w:val="pl-PL"/>
        </w:rPr>
        <w:lastRenderedPageBreak/>
        <w:t>EVFTA, a</w:t>
      </w:r>
      <w:r w:rsidR="00C77A38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>w</w:t>
      </w:r>
      <w:r w:rsidR="00844EB3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konsekwencji lit. (a) i (b) tego samego ustępu </w:t>
      </w:r>
      <w:r w:rsidR="00F95261" w:rsidRPr="0003637E">
        <w:rPr>
          <w:rFonts w:eastAsia="Times New Roman" w:cstheme="minorHAnsi"/>
          <w:sz w:val="24"/>
          <w:szCs w:val="24"/>
          <w:lang w:val="pl-PL"/>
        </w:rPr>
        <w:t xml:space="preserve">(świadectwo pochodzenia i deklaracja pochodzenia) </w:t>
      </w:r>
      <w:r w:rsidRPr="0003637E">
        <w:rPr>
          <w:rFonts w:eastAsia="Times New Roman" w:cstheme="minorHAnsi"/>
          <w:sz w:val="24"/>
          <w:szCs w:val="24"/>
          <w:lang w:val="pl-PL"/>
        </w:rPr>
        <w:t>nie będą miały zastosowania.</w:t>
      </w:r>
    </w:p>
    <w:p w14:paraId="30CDD8B7" w14:textId="6C23B521" w:rsidR="00F95261" w:rsidRPr="0003637E" w:rsidRDefault="00F95261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W konsekwencji w przypadku podmiotów unijnych przy eksporcie do Wietnamu stosowany jest wyłącznie system REX, a zatem </w:t>
      </w:r>
      <w:r w:rsidR="0021056E" w:rsidRPr="0003637E">
        <w:rPr>
          <w:rFonts w:eastAsia="Times New Roman" w:cstheme="minorHAnsi"/>
          <w:sz w:val="24"/>
          <w:szCs w:val="24"/>
          <w:lang w:val="pl-PL"/>
        </w:rPr>
        <w:t xml:space="preserve">właściwym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dowodem pochodzenia </w:t>
      </w:r>
      <w:r w:rsidR="0021056E" w:rsidRPr="0003637E">
        <w:rPr>
          <w:rFonts w:eastAsia="Times New Roman" w:cstheme="minorHAnsi"/>
          <w:sz w:val="24"/>
          <w:szCs w:val="24"/>
          <w:lang w:val="pl-PL"/>
        </w:rPr>
        <w:t>jest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b/>
          <w:sz w:val="24"/>
          <w:szCs w:val="24"/>
          <w:u w:val="single"/>
          <w:lang w:val="pl-PL"/>
        </w:rPr>
        <w:t>oświadczenie o</w:t>
      </w:r>
      <w:r w:rsidR="00503222">
        <w:rPr>
          <w:rFonts w:eastAsia="Times New Roman" w:cstheme="minorHAnsi"/>
          <w:b/>
          <w:sz w:val="24"/>
          <w:szCs w:val="24"/>
          <w:u w:val="single"/>
          <w:lang w:val="pl-PL"/>
        </w:rPr>
        <w:t> </w:t>
      </w:r>
      <w:r w:rsidRPr="0003637E">
        <w:rPr>
          <w:rFonts w:eastAsia="Times New Roman" w:cstheme="minorHAnsi"/>
          <w:b/>
          <w:sz w:val="24"/>
          <w:szCs w:val="24"/>
          <w:u w:val="single"/>
          <w:lang w:val="pl-PL"/>
        </w:rPr>
        <w:t>pochodzeniu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sporządzone samodzielnie przez eksportera.</w:t>
      </w:r>
    </w:p>
    <w:p w14:paraId="24A4FB3F" w14:textId="0FCCB554" w:rsidR="00C103F0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Artykuł 19 </w:t>
      </w:r>
      <w:r w:rsidR="0096594F" w:rsidRPr="0003637E">
        <w:rPr>
          <w:rFonts w:eastAsia="Times New Roman" w:cstheme="minorHAnsi"/>
          <w:sz w:val="24"/>
          <w:szCs w:val="24"/>
          <w:lang w:val="pl-PL"/>
        </w:rPr>
        <w:t xml:space="preserve">Protokołu 1 </w:t>
      </w:r>
      <w:r w:rsidRPr="0003637E">
        <w:rPr>
          <w:rFonts w:eastAsia="Times New Roman" w:cstheme="minorHAnsi"/>
          <w:sz w:val="24"/>
          <w:szCs w:val="24"/>
          <w:lang w:val="pl-PL"/>
        </w:rPr>
        <w:t>ustanawia warunki sporządzania deklaracji pochodzenia</w:t>
      </w:r>
      <w:r w:rsidR="00761959" w:rsidRPr="0003637E">
        <w:rPr>
          <w:rFonts w:eastAsia="Times New Roman" w:cstheme="minorHAnsi"/>
          <w:sz w:val="24"/>
          <w:szCs w:val="24"/>
          <w:lang w:val="pl-PL"/>
        </w:rPr>
        <w:t>, a jego u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stęp 6 </w:t>
      </w:r>
      <w:r w:rsidR="00761959" w:rsidRPr="0003637E">
        <w:rPr>
          <w:rFonts w:eastAsia="Times New Roman" w:cstheme="minorHAnsi"/>
          <w:sz w:val="24"/>
          <w:szCs w:val="24"/>
          <w:lang w:val="pl-PL"/>
        </w:rPr>
        <w:t>stanowi</w:t>
      </w:r>
      <w:r w:rsidRPr="0003637E">
        <w:rPr>
          <w:rFonts w:eastAsia="Times New Roman" w:cstheme="minorHAnsi"/>
          <w:sz w:val="24"/>
          <w:szCs w:val="24"/>
          <w:lang w:val="pl-PL"/>
        </w:rPr>
        <w:t>, że</w:t>
      </w:r>
      <w:r w:rsidR="009C4717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761959" w:rsidRPr="0003637E">
        <w:rPr>
          <w:rFonts w:eastAsia="Times New Roman" w:cstheme="minorHAnsi"/>
          <w:sz w:val="24"/>
          <w:szCs w:val="24"/>
          <w:lang w:val="pl-PL"/>
        </w:rPr>
        <w:t>w</w:t>
      </w:r>
      <w:r w:rsidRPr="0003637E">
        <w:rPr>
          <w:rFonts w:eastAsia="Times New Roman" w:cstheme="minorHAnsi"/>
          <w:sz w:val="24"/>
          <w:szCs w:val="24"/>
          <w:lang w:val="pl-PL"/>
        </w:rPr>
        <w:t>arunki sporządzania deklaracj</w:t>
      </w:r>
      <w:r w:rsidR="00102468" w:rsidRPr="0003637E">
        <w:rPr>
          <w:rFonts w:eastAsia="Times New Roman" w:cstheme="minorHAnsi"/>
          <w:sz w:val="24"/>
          <w:szCs w:val="24"/>
          <w:lang w:val="pl-PL"/>
        </w:rPr>
        <w:t>i pochodzenia, o których mowa w 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ust. 1-5, stosuje się </w:t>
      </w:r>
      <w:r w:rsidR="00102468" w:rsidRPr="0003637E">
        <w:rPr>
          <w:rFonts w:eastAsia="Times New Roman" w:cstheme="minorHAnsi"/>
          <w:sz w:val="24"/>
          <w:szCs w:val="24"/>
          <w:lang w:val="pl-PL"/>
        </w:rPr>
        <w:t xml:space="preserve">odpowiednio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do </w:t>
      </w:r>
      <w:r w:rsidR="00F943CF" w:rsidRPr="0003637E">
        <w:rPr>
          <w:rFonts w:eastAsia="Times New Roman" w:cstheme="minorHAnsi"/>
          <w:sz w:val="24"/>
          <w:szCs w:val="24"/>
          <w:lang w:val="pl-PL"/>
        </w:rPr>
        <w:t xml:space="preserve">oświadczeń o pochodzeniu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sporządzanych przez eksportera zarejestrowanego zgodnie z art. 15 ust. 1 lit. </w:t>
      </w:r>
      <w:r w:rsidR="007A5AB4" w:rsidRPr="0003637E">
        <w:rPr>
          <w:rFonts w:eastAsia="Times New Roman" w:cstheme="minorHAnsi"/>
          <w:sz w:val="24"/>
          <w:szCs w:val="24"/>
          <w:lang w:val="pl-PL"/>
        </w:rPr>
        <w:t>(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c) i </w:t>
      </w:r>
      <w:r w:rsidR="007A5AB4" w:rsidRPr="0003637E">
        <w:rPr>
          <w:rFonts w:eastAsia="Times New Roman" w:cstheme="minorHAnsi"/>
          <w:sz w:val="24"/>
          <w:szCs w:val="24"/>
          <w:lang w:val="pl-PL"/>
        </w:rPr>
        <w:t>ust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. 2 lit. </w:t>
      </w:r>
      <w:r w:rsidR="007A5AB4" w:rsidRPr="0003637E">
        <w:rPr>
          <w:rFonts w:eastAsia="Times New Roman" w:cstheme="minorHAnsi"/>
          <w:sz w:val="24"/>
          <w:szCs w:val="24"/>
          <w:lang w:val="pl-PL"/>
        </w:rPr>
        <w:t>(</w:t>
      </w:r>
      <w:r w:rsidRPr="0003637E">
        <w:rPr>
          <w:rFonts w:eastAsia="Times New Roman" w:cstheme="minorHAnsi"/>
          <w:sz w:val="24"/>
          <w:szCs w:val="24"/>
          <w:lang w:val="pl-PL"/>
        </w:rPr>
        <w:t>c).</w:t>
      </w:r>
    </w:p>
    <w:p w14:paraId="3C176F15" w14:textId="6788CF11" w:rsidR="00844EB3" w:rsidRPr="0003637E" w:rsidRDefault="00844EB3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W</w:t>
      </w:r>
      <w:r w:rsidR="00C77A38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związku z tym produkty pochodzące z Unii Europejskiej przy przywozie do Wietnamu korzystają z preferencji taryfowych wynikających z umowy EVFTA po przedłożeniu dotyczących ich oświadczeń o pochodzeniu. Świadectwa EUR.1 </w:t>
      </w:r>
      <w:r w:rsidR="0021056E" w:rsidRPr="0003637E">
        <w:rPr>
          <w:rFonts w:eastAsia="Times New Roman" w:cstheme="minorHAnsi"/>
          <w:sz w:val="24"/>
          <w:szCs w:val="24"/>
          <w:lang w:val="pl-PL"/>
        </w:rPr>
        <w:t>nie będą wystawiane przez organy celne, a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deklaracje pochodzenia nie będą  </w:t>
      </w:r>
      <w:r w:rsidRPr="0003637E">
        <w:rPr>
          <w:rFonts w:eastAsia="Times New Roman" w:cstheme="minorHAnsi"/>
          <w:sz w:val="24"/>
          <w:szCs w:val="24"/>
          <w:lang w:val="pl-PL"/>
        </w:rPr>
        <w:lastRenderedPageBreak/>
        <w:t xml:space="preserve">sporządzane </w:t>
      </w:r>
      <w:r w:rsidR="0021056E" w:rsidRPr="0003637E">
        <w:rPr>
          <w:rFonts w:eastAsia="Times New Roman" w:cstheme="minorHAnsi"/>
          <w:sz w:val="24"/>
          <w:szCs w:val="24"/>
          <w:lang w:val="pl-PL"/>
        </w:rPr>
        <w:t>przez unijnych eksporterów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w</w:t>
      </w:r>
      <w:r w:rsidR="00503222">
        <w:rPr>
          <w:rFonts w:eastAsia="Times New Roman" w:cstheme="minorHAnsi"/>
          <w:sz w:val="24"/>
          <w:szCs w:val="24"/>
          <w:lang w:val="pl-PL"/>
        </w:rPr>
        <w:t> </w:t>
      </w:r>
      <w:r w:rsidRPr="0003637E">
        <w:rPr>
          <w:rFonts w:eastAsia="Times New Roman" w:cstheme="minorHAnsi"/>
          <w:sz w:val="24"/>
          <w:szCs w:val="24"/>
          <w:lang w:val="pl-PL"/>
        </w:rPr>
        <w:t>celu korzystania z preferencyjnego traktowania taryfowego w Wietnamie.</w:t>
      </w:r>
    </w:p>
    <w:p w14:paraId="011AB096" w14:textId="78067D98" w:rsidR="00CD235B" w:rsidRPr="0003637E" w:rsidRDefault="00CD235B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Jednakże, zgodnie z art. 68 ust. 4 UKC-RW </w:t>
      </w:r>
      <w:r w:rsidR="00171231" w:rsidRPr="0003637E">
        <w:rPr>
          <w:rFonts w:eastAsia="Times New Roman" w:cstheme="minorHAnsi"/>
          <w:sz w:val="24"/>
          <w:szCs w:val="24"/>
          <w:lang w:val="pl-PL"/>
        </w:rPr>
        <w:t>unijny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eksporter, który nie jest zarejestrowanym eksporterem, może </w:t>
      </w:r>
      <w:r w:rsidR="00171231" w:rsidRPr="0003637E">
        <w:rPr>
          <w:rFonts w:eastAsia="Times New Roman" w:cstheme="minorHAnsi"/>
          <w:sz w:val="24"/>
          <w:szCs w:val="24"/>
          <w:lang w:val="pl-PL"/>
        </w:rPr>
        <w:t xml:space="preserve">także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sporządzić oświadczenie o pochodzeniu, ale tylko dla przesyłek, </w:t>
      </w:r>
      <w:r w:rsidR="00503222">
        <w:rPr>
          <w:rFonts w:eastAsia="Times New Roman" w:cstheme="minorHAnsi"/>
          <w:sz w:val="24"/>
          <w:szCs w:val="24"/>
          <w:lang w:val="pl-PL"/>
        </w:rPr>
        <w:t>w 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których wartość </w:t>
      </w:r>
      <w:r w:rsidR="0021056E" w:rsidRPr="0003637E">
        <w:rPr>
          <w:rFonts w:eastAsia="Times New Roman" w:cstheme="minorHAnsi"/>
          <w:sz w:val="24"/>
          <w:szCs w:val="24"/>
          <w:lang w:val="pl-PL"/>
        </w:rPr>
        <w:t xml:space="preserve">produktów pochodzących z UE </w:t>
      </w:r>
      <w:r w:rsidRPr="0003637E">
        <w:rPr>
          <w:rFonts w:eastAsia="Times New Roman" w:cstheme="minorHAnsi"/>
          <w:sz w:val="24"/>
          <w:szCs w:val="24"/>
          <w:lang w:val="pl-PL"/>
        </w:rPr>
        <w:t>nie przekracza 6 000 EUR.</w:t>
      </w:r>
    </w:p>
    <w:p w14:paraId="68475E4D" w14:textId="5F95B41D" w:rsidR="00C103F0" w:rsidRPr="0003637E" w:rsidRDefault="00C103F0" w:rsidP="0003637E">
      <w:pPr>
        <w:pStyle w:val="Akapitzlist"/>
        <w:numPr>
          <w:ilvl w:val="0"/>
          <w:numId w:val="34"/>
        </w:numPr>
        <w:ind w:left="567" w:hanging="567"/>
        <w:rPr>
          <w:rFonts w:eastAsia="Times New Roman" w:cstheme="minorHAnsi"/>
          <w:sz w:val="24"/>
          <w:szCs w:val="24"/>
          <w:u w:val="single"/>
          <w:lang w:val="pl-PL"/>
        </w:rPr>
      </w:pP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Ważność rejestracji eksporterów </w:t>
      </w:r>
      <w:r w:rsidR="00C77A38" w:rsidRPr="0003637E">
        <w:rPr>
          <w:rFonts w:eastAsia="Times New Roman" w:cstheme="minorHAnsi"/>
          <w:sz w:val="24"/>
          <w:szCs w:val="24"/>
          <w:u w:val="single"/>
          <w:lang w:val="pl-PL"/>
        </w:rPr>
        <w:t>unijnych</w:t>
      </w:r>
    </w:p>
    <w:p w14:paraId="14F99594" w14:textId="652B6290" w:rsidR="00C103F0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Rejestracja </w:t>
      </w:r>
      <w:r w:rsidR="00761959" w:rsidRPr="0003637E">
        <w:rPr>
          <w:rFonts w:eastAsia="Times New Roman" w:cstheme="minorHAnsi"/>
          <w:sz w:val="24"/>
          <w:szCs w:val="24"/>
          <w:lang w:val="pl-PL"/>
        </w:rPr>
        <w:t xml:space="preserve">unijnego </w:t>
      </w:r>
      <w:r w:rsidRPr="0003637E">
        <w:rPr>
          <w:rFonts w:eastAsia="Times New Roman" w:cstheme="minorHAnsi"/>
          <w:sz w:val="24"/>
          <w:szCs w:val="24"/>
          <w:lang w:val="pl-PL"/>
        </w:rPr>
        <w:t>eksportera w bazie REX jest</w:t>
      </w:r>
      <w:r w:rsidR="00761959" w:rsidRPr="0003637E">
        <w:rPr>
          <w:rFonts w:eastAsia="Times New Roman" w:cstheme="minorHAnsi"/>
          <w:sz w:val="24"/>
          <w:szCs w:val="24"/>
          <w:lang w:val="pl-PL"/>
        </w:rPr>
        <w:t>,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zgodn</w:t>
      </w:r>
      <w:r w:rsidR="00F943CF" w:rsidRPr="0003637E">
        <w:rPr>
          <w:rFonts w:eastAsia="Times New Roman" w:cstheme="minorHAnsi"/>
          <w:sz w:val="24"/>
          <w:szCs w:val="24"/>
          <w:lang w:val="pl-PL"/>
        </w:rPr>
        <w:t>ie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z art. 26 U</w:t>
      </w:r>
      <w:r w:rsidR="00F943CF" w:rsidRPr="0003637E">
        <w:rPr>
          <w:rFonts w:eastAsia="Times New Roman" w:cstheme="minorHAnsi"/>
          <w:sz w:val="24"/>
          <w:szCs w:val="24"/>
          <w:lang w:val="pl-PL"/>
        </w:rPr>
        <w:t>KC</w:t>
      </w:r>
      <w:r w:rsidR="00761959" w:rsidRPr="0003637E">
        <w:rPr>
          <w:rFonts w:eastAsia="Times New Roman" w:cstheme="minorHAnsi"/>
          <w:sz w:val="24"/>
          <w:szCs w:val="24"/>
          <w:lang w:val="pl-PL"/>
        </w:rPr>
        <w:t>,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ważna na całym obszarze celnym Unii i w związku z tym numer REX przyznany eksporterowi może być stosowany niezależnie od miejsca, w którym produkty są zgłaszane do wywozu.</w:t>
      </w:r>
      <w:r w:rsidR="00F943CF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Oznacza to, że numer REX może być wykorzystany </w:t>
      </w:r>
      <w:r w:rsidR="006B227B" w:rsidRPr="0003637E">
        <w:rPr>
          <w:rFonts w:eastAsia="Times New Roman" w:cstheme="minorHAnsi"/>
          <w:sz w:val="24"/>
          <w:szCs w:val="24"/>
          <w:lang w:val="pl-PL"/>
        </w:rPr>
        <w:t xml:space="preserve">przez danego eksportera </w:t>
      </w:r>
      <w:r w:rsidR="00761959" w:rsidRPr="0003637E">
        <w:rPr>
          <w:rFonts w:eastAsia="Times New Roman" w:cstheme="minorHAnsi"/>
          <w:sz w:val="24"/>
          <w:szCs w:val="24"/>
          <w:lang w:val="pl-PL"/>
        </w:rPr>
        <w:t>przy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wywoz</w:t>
      </w:r>
      <w:r w:rsidR="00761959" w:rsidRPr="0003637E">
        <w:rPr>
          <w:rFonts w:eastAsia="Times New Roman" w:cstheme="minorHAnsi"/>
          <w:sz w:val="24"/>
          <w:szCs w:val="24"/>
          <w:lang w:val="pl-PL"/>
        </w:rPr>
        <w:t>ie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6B227B" w:rsidRPr="0003637E">
        <w:rPr>
          <w:rFonts w:eastAsia="Times New Roman" w:cstheme="minorHAnsi"/>
          <w:sz w:val="24"/>
          <w:szCs w:val="24"/>
          <w:lang w:val="pl-PL"/>
        </w:rPr>
        <w:t xml:space="preserve">jego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produktów z różnych państw członkowskich, a nie tylko z państwa członkowskiego, w którym został </w:t>
      </w:r>
      <w:r w:rsidR="00EC2430" w:rsidRPr="0003637E">
        <w:rPr>
          <w:rFonts w:eastAsia="Times New Roman" w:cstheme="minorHAnsi"/>
          <w:sz w:val="24"/>
          <w:szCs w:val="24"/>
          <w:lang w:val="pl-PL"/>
        </w:rPr>
        <w:t xml:space="preserve">on </w:t>
      </w:r>
      <w:r w:rsidR="00F943CF" w:rsidRPr="0003637E">
        <w:rPr>
          <w:rFonts w:eastAsia="Times New Roman" w:cstheme="minorHAnsi"/>
          <w:sz w:val="24"/>
          <w:szCs w:val="24"/>
          <w:lang w:val="pl-PL"/>
        </w:rPr>
        <w:t>nadany.</w:t>
      </w:r>
    </w:p>
    <w:p w14:paraId="45EC0DEE" w14:textId="022EC2A1" w:rsidR="00171231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Ponadto, </w:t>
      </w:r>
      <w:r w:rsidR="00496CD4" w:rsidRPr="0003637E">
        <w:rPr>
          <w:rFonts w:eastAsia="Times New Roman" w:cstheme="minorHAnsi"/>
          <w:sz w:val="24"/>
          <w:szCs w:val="24"/>
          <w:lang w:val="pl-PL"/>
        </w:rPr>
        <w:t xml:space="preserve">nadany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numer </w:t>
      </w:r>
      <w:r w:rsidR="00F943CF" w:rsidRPr="0003637E">
        <w:rPr>
          <w:rFonts w:eastAsia="Times New Roman" w:cstheme="minorHAnsi"/>
          <w:sz w:val="24"/>
          <w:szCs w:val="24"/>
          <w:lang w:val="pl-PL"/>
        </w:rPr>
        <w:t>REX</w:t>
      </w:r>
      <w:r w:rsidR="006B227B" w:rsidRPr="0003637E">
        <w:rPr>
          <w:rFonts w:eastAsia="Times New Roman" w:cstheme="minorHAnsi"/>
          <w:sz w:val="24"/>
          <w:szCs w:val="24"/>
          <w:lang w:val="pl-PL"/>
        </w:rPr>
        <w:t xml:space="preserve"> może być stosowany w</w:t>
      </w:r>
      <w:r w:rsidR="006D293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kontekście wszelkich </w:t>
      </w:r>
      <w:r w:rsidR="006D2930" w:rsidRPr="0003637E">
        <w:rPr>
          <w:rFonts w:eastAsia="Times New Roman" w:cstheme="minorHAnsi"/>
          <w:sz w:val="24"/>
          <w:szCs w:val="24"/>
          <w:lang w:val="pl-PL"/>
        </w:rPr>
        <w:t xml:space="preserve">unijnych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uzgodnień/porozumień, w których system </w:t>
      </w:r>
      <w:r w:rsidRPr="0003637E">
        <w:rPr>
          <w:rFonts w:eastAsia="Times New Roman" w:cstheme="minorHAnsi"/>
          <w:sz w:val="24"/>
          <w:szCs w:val="24"/>
          <w:lang w:val="pl-PL"/>
        </w:rPr>
        <w:lastRenderedPageBreak/>
        <w:t>REX ma zastosowanie.</w:t>
      </w:r>
      <w:r w:rsidR="00F943CF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Eksporter posiadający już numer REX do celów wywozu do krajów korzystających z GSP (kumulacja dwustronna), do Japonii lub Kanady, może używać tego samego numeru </w:t>
      </w:r>
      <w:r w:rsidR="00EC2430" w:rsidRPr="0003637E">
        <w:rPr>
          <w:rFonts w:eastAsia="Times New Roman" w:cstheme="minorHAnsi"/>
          <w:sz w:val="24"/>
          <w:szCs w:val="24"/>
          <w:lang w:val="pl-PL"/>
        </w:rPr>
        <w:t>w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cel</w:t>
      </w:r>
      <w:r w:rsidR="006B227B" w:rsidRPr="0003637E">
        <w:rPr>
          <w:rFonts w:eastAsia="Times New Roman" w:cstheme="minorHAnsi"/>
          <w:sz w:val="24"/>
          <w:szCs w:val="24"/>
          <w:lang w:val="pl-PL"/>
        </w:rPr>
        <w:t>u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wywozu </w:t>
      </w:r>
      <w:r w:rsidR="00EC2430" w:rsidRPr="0003637E">
        <w:rPr>
          <w:rFonts w:eastAsia="Times New Roman" w:cstheme="minorHAnsi"/>
          <w:sz w:val="24"/>
          <w:szCs w:val="24"/>
          <w:lang w:val="pl-PL"/>
        </w:rPr>
        <w:t xml:space="preserve">towarów </w:t>
      </w:r>
      <w:r w:rsidRPr="0003637E">
        <w:rPr>
          <w:rFonts w:eastAsia="Times New Roman" w:cstheme="minorHAnsi"/>
          <w:sz w:val="24"/>
          <w:szCs w:val="24"/>
          <w:lang w:val="pl-PL"/>
        </w:rPr>
        <w:t>do Wietnamu.</w:t>
      </w:r>
    </w:p>
    <w:p w14:paraId="0BDF4206" w14:textId="6A3174BD" w:rsidR="00C103F0" w:rsidRPr="0003637E" w:rsidRDefault="00C103F0" w:rsidP="0003637E">
      <w:pPr>
        <w:pStyle w:val="Akapitzlist"/>
        <w:numPr>
          <w:ilvl w:val="0"/>
          <w:numId w:val="34"/>
        </w:numPr>
        <w:ind w:left="567" w:hanging="567"/>
        <w:rPr>
          <w:rFonts w:eastAsia="Times New Roman" w:cstheme="minorHAnsi"/>
          <w:sz w:val="24"/>
          <w:szCs w:val="24"/>
          <w:u w:val="single"/>
          <w:lang w:val="pl-PL"/>
        </w:rPr>
      </w:pP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>Tekst oświadczenia o pochodzeniu</w:t>
      </w:r>
    </w:p>
    <w:p w14:paraId="64CB105D" w14:textId="0D0AFED2" w:rsidR="001E52D7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Załącznik VI do </w:t>
      </w:r>
      <w:r w:rsidR="006B227B" w:rsidRPr="0003637E">
        <w:rPr>
          <w:rFonts w:eastAsia="Times New Roman" w:cstheme="minorHAnsi"/>
          <w:sz w:val="24"/>
          <w:szCs w:val="24"/>
          <w:lang w:val="pl-PL"/>
        </w:rPr>
        <w:t>P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rotokołu </w:t>
      </w:r>
      <w:r w:rsidR="00F943CF" w:rsidRPr="0003637E">
        <w:rPr>
          <w:rFonts w:eastAsia="Times New Roman" w:cstheme="minorHAnsi"/>
          <w:sz w:val="24"/>
          <w:szCs w:val="24"/>
          <w:lang w:val="pl-PL"/>
        </w:rPr>
        <w:t xml:space="preserve">1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zawiera tekst </w:t>
      </w:r>
      <w:r w:rsidR="001E52D7" w:rsidRPr="0003637E">
        <w:rPr>
          <w:rFonts w:eastAsia="Times New Roman" w:cstheme="minorHAnsi"/>
          <w:sz w:val="24"/>
          <w:szCs w:val="24"/>
          <w:lang w:val="pl-PL"/>
        </w:rPr>
        <w:t>deklaracji pochodzenia</w:t>
      </w:r>
      <w:r w:rsidR="001419E1" w:rsidRPr="0003637E">
        <w:rPr>
          <w:rFonts w:eastAsia="Times New Roman" w:cstheme="minorHAnsi"/>
          <w:sz w:val="24"/>
          <w:szCs w:val="24"/>
          <w:lang w:val="pl-PL"/>
        </w:rPr>
        <w:t>, któr</w:t>
      </w:r>
      <w:r w:rsidR="006D2930" w:rsidRPr="0003637E">
        <w:rPr>
          <w:rFonts w:eastAsia="Times New Roman" w:cstheme="minorHAnsi"/>
          <w:sz w:val="24"/>
          <w:szCs w:val="24"/>
          <w:lang w:val="pl-PL"/>
        </w:rPr>
        <w:t>a</w:t>
      </w:r>
      <w:r w:rsidR="001419E1" w:rsidRPr="0003637E">
        <w:rPr>
          <w:rFonts w:eastAsia="Times New Roman" w:cstheme="minorHAnsi"/>
          <w:sz w:val="24"/>
          <w:szCs w:val="24"/>
          <w:lang w:val="pl-PL"/>
        </w:rPr>
        <w:t xml:space="preserve"> będzie stosowa</w:t>
      </w:r>
      <w:r w:rsidR="00896B66" w:rsidRPr="0003637E">
        <w:rPr>
          <w:rFonts w:eastAsia="Times New Roman" w:cstheme="minorHAnsi"/>
          <w:sz w:val="24"/>
          <w:szCs w:val="24"/>
          <w:lang w:val="pl-PL"/>
        </w:rPr>
        <w:t>n</w:t>
      </w:r>
      <w:r w:rsidR="006D2930" w:rsidRPr="0003637E">
        <w:rPr>
          <w:rFonts w:eastAsia="Times New Roman" w:cstheme="minorHAnsi"/>
          <w:sz w:val="24"/>
          <w:szCs w:val="24"/>
          <w:lang w:val="pl-PL"/>
        </w:rPr>
        <w:t>a</w:t>
      </w:r>
      <w:r w:rsidR="00896B66" w:rsidRPr="0003637E">
        <w:rPr>
          <w:rFonts w:eastAsia="Times New Roman" w:cstheme="minorHAnsi"/>
          <w:sz w:val="24"/>
          <w:szCs w:val="24"/>
          <w:lang w:val="pl-PL"/>
        </w:rPr>
        <w:t xml:space="preserve"> przez eksporterów wietnamskich</w:t>
      </w:r>
      <w:r w:rsidR="001E52D7" w:rsidRPr="0003637E">
        <w:rPr>
          <w:rFonts w:eastAsia="Times New Roman" w:cstheme="minorHAnsi"/>
          <w:sz w:val="24"/>
          <w:szCs w:val="24"/>
          <w:lang w:val="pl-PL"/>
        </w:rPr>
        <w:t>.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896B66" w:rsidRPr="0003637E">
        <w:rPr>
          <w:rFonts w:eastAsia="Times New Roman" w:cstheme="minorHAnsi"/>
          <w:sz w:val="24"/>
          <w:szCs w:val="24"/>
          <w:lang w:val="pl-PL"/>
        </w:rPr>
        <w:t>Eksporterzy unijni bę</w:t>
      </w:r>
      <w:r w:rsidR="00503222">
        <w:rPr>
          <w:rFonts w:eastAsia="Times New Roman" w:cstheme="minorHAnsi"/>
          <w:sz w:val="24"/>
          <w:szCs w:val="24"/>
          <w:lang w:val="pl-PL"/>
        </w:rPr>
        <w:t>dą wykorzystywać oświadczenia o </w:t>
      </w:r>
      <w:r w:rsidR="00896B66" w:rsidRPr="0003637E">
        <w:rPr>
          <w:rFonts w:eastAsia="Times New Roman" w:cstheme="minorHAnsi"/>
          <w:sz w:val="24"/>
          <w:szCs w:val="24"/>
          <w:lang w:val="pl-PL"/>
        </w:rPr>
        <w:t>pochodzeniu, ale ich treść jest zgodna z treścią deklaracji pochodzenia</w:t>
      </w:r>
      <w:r w:rsidR="00FE0919" w:rsidRPr="0003637E">
        <w:rPr>
          <w:rFonts w:eastAsia="Times New Roman" w:cstheme="minorHAnsi"/>
          <w:sz w:val="24"/>
          <w:szCs w:val="24"/>
          <w:lang w:val="pl-PL"/>
        </w:rPr>
        <w:t>, dlatego</w:t>
      </w:r>
      <w:r w:rsidR="001E52D7" w:rsidRPr="0003637E">
        <w:rPr>
          <w:rFonts w:cstheme="minorHAnsi"/>
          <w:sz w:val="24"/>
          <w:szCs w:val="24"/>
          <w:lang w:val="pl-PL"/>
        </w:rPr>
        <w:t xml:space="preserve"> </w:t>
      </w:r>
      <w:r w:rsidR="001E52D7" w:rsidRPr="0003637E">
        <w:rPr>
          <w:rFonts w:eastAsia="Times New Roman" w:cstheme="minorHAnsi"/>
          <w:sz w:val="24"/>
          <w:szCs w:val="24"/>
          <w:lang w:val="pl-PL"/>
        </w:rPr>
        <w:t xml:space="preserve">Załącznik VI ma zastosowanie </w:t>
      </w:r>
      <w:r w:rsidR="001E52D7" w:rsidRPr="0003637E">
        <w:rPr>
          <w:rFonts w:eastAsia="Times New Roman" w:cstheme="minorHAnsi"/>
          <w:i/>
          <w:sz w:val="24"/>
          <w:szCs w:val="24"/>
          <w:lang w:val="pl-PL"/>
        </w:rPr>
        <w:t>mutatis mutandis</w:t>
      </w:r>
      <w:r w:rsidR="001E52D7" w:rsidRPr="0003637E">
        <w:rPr>
          <w:rFonts w:eastAsia="Times New Roman" w:cstheme="minorHAnsi"/>
          <w:sz w:val="24"/>
          <w:szCs w:val="24"/>
          <w:lang w:val="pl-PL"/>
        </w:rPr>
        <w:t xml:space="preserve"> do oświadcze</w:t>
      </w:r>
      <w:r w:rsidR="00FE0919" w:rsidRPr="0003637E">
        <w:rPr>
          <w:rFonts w:eastAsia="Times New Roman" w:cstheme="minorHAnsi"/>
          <w:sz w:val="24"/>
          <w:szCs w:val="24"/>
          <w:lang w:val="pl-PL"/>
        </w:rPr>
        <w:t>ń</w:t>
      </w:r>
      <w:r w:rsidR="001E52D7" w:rsidRPr="0003637E">
        <w:rPr>
          <w:rFonts w:eastAsia="Times New Roman" w:cstheme="minorHAnsi"/>
          <w:sz w:val="24"/>
          <w:szCs w:val="24"/>
          <w:lang w:val="pl-PL"/>
        </w:rPr>
        <w:t xml:space="preserve"> o pochodzeniu.</w:t>
      </w:r>
    </w:p>
    <w:p w14:paraId="0F63DE0B" w14:textId="77777777" w:rsidR="001E52D7" w:rsidRPr="0003637E" w:rsidRDefault="001E52D7" w:rsidP="0003637E">
      <w:pPr>
        <w:rPr>
          <w:rFonts w:eastAsia="Times New Roman" w:cstheme="minorHAnsi"/>
          <w:sz w:val="24"/>
          <w:szCs w:val="24"/>
          <w:u w:val="single"/>
          <w:lang w:val="pl-PL"/>
        </w:rPr>
      </w:pP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>Zaleca się stosowanie angielskiej wersji językowej oświadczenia.</w:t>
      </w:r>
    </w:p>
    <w:p w14:paraId="7D905A2E" w14:textId="08893AE6" w:rsidR="001E52D7" w:rsidRPr="0003637E" w:rsidRDefault="00EB11A1" w:rsidP="0003637E">
      <w:pPr>
        <w:rPr>
          <w:rFonts w:eastAsia="Times New Roman" w:cstheme="minorHAnsi"/>
          <w:b/>
          <w:sz w:val="24"/>
          <w:szCs w:val="24"/>
          <w:lang w:val="en-US"/>
        </w:rPr>
      </w:pPr>
      <w:r w:rsidRPr="0003637E">
        <w:rPr>
          <w:rFonts w:eastAsia="Times New Roman" w:cstheme="minorHAnsi"/>
          <w:b/>
          <w:sz w:val="24"/>
          <w:szCs w:val="24"/>
          <w:lang w:val="en-US"/>
        </w:rPr>
        <w:t>STATEMENT ON ORIGIN</w:t>
      </w:r>
      <w:r w:rsidR="001E52D7" w:rsidRPr="0003637E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r w:rsidR="00FE0919" w:rsidRPr="0003637E">
        <w:rPr>
          <w:rFonts w:eastAsia="Times New Roman" w:cstheme="minorHAnsi"/>
          <w:b/>
          <w:sz w:val="24"/>
          <w:szCs w:val="24"/>
          <w:lang w:val="en-US"/>
        </w:rPr>
        <w:t>(</w:t>
      </w:r>
      <w:proofErr w:type="spellStart"/>
      <w:r w:rsidR="00FE0919" w:rsidRPr="0003637E">
        <w:rPr>
          <w:rFonts w:eastAsia="Times New Roman" w:cstheme="minorHAnsi"/>
          <w:b/>
          <w:sz w:val="24"/>
          <w:szCs w:val="24"/>
          <w:lang w:val="en-US"/>
        </w:rPr>
        <w:t>w</w:t>
      </w:r>
      <w:r w:rsidR="00C103F0" w:rsidRPr="0003637E">
        <w:rPr>
          <w:rFonts w:eastAsia="Times New Roman" w:cstheme="minorHAnsi"/>
          <w:b/>
          <w:sz w:val="24"/>
          <w:szCs w:val="24"/>
          <w:lang w:val="en-US"/>
        </w:rPr>
        <w:t>ersja</w:t>
      </w:r>
      <w:proofErr w:type="spellEnd"/>
      <w:r w:rsidR="00C103F0" w:rsidRPr="0003637E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proofErr w:type="spellStart"/>
      <w:r w:rsidR="001E52D7" w:rsidRPr="0003637E">
        <w:rPr>
          <w:rFonts w:eastAsia="Times New Roman" w:cstheme="minorHAnsi"/>
          <w:b/>
          <w:sz w:val="24"/>
          <w:szCs w:val="24"/>
          <w:lang w:val="en-US"/>
        </w:rPr>
        <w:t>angielska</w:t>
      </w:r>
      <w:proofErr w:type="spellEnd"/>
      <w:r w:rsidR="00FE0919" w:rsidRPr="0003637E">
        <w:rPr>
          <w:rFonts w:eastAsia="Times New Roman" w:cstheme="minorHAnsi"/>
          <w:b/>
          <w:sz w:val="24"/>
          <w:szCs w:val="24"/>
          <w:lang w:val="en-US"/>
        </w:rPr>
        <w:t>)</w:t>
      </w:r>
    </w:p>
    <w:p w14:paraId="25E09677" w14:textId="14D1A4AB" w:rsidR="001E52D7" w:rsidRPr="0003637E" w:rsidRDefault="001E52D7" w:rsidP="0003637E">
      <w:pPr>
        <w:spacing w:after="120"/>
        <w:rPr>
          <w:rFonts w:eastAsia="Times New Roman" w:cstheme="minorHAnsi"/>
          <w:sz w:val="24"/>
          <w:szCs w:val="24"/>
          <w:lang w:val="en-US"/>
        </w:rPr>
      </w:pPr>
      <w:r w:rsidRPr="0003637E">
        <w:rPr>
          <w:rFonts w:eastAsia="Times New Roman" w:cstheme="minorHAnsi"/>
          <w:sz w:val="24"/>
          <w:szCs w:val="24"/>
          <w:lang w:val="en-US"/>
        </w:rPr>
        <w:t>The exporter of the products covered by this document (registration No ...(1)) declares that, except where otherwise clearly indicated, these products are of ...(2) preferential origin</w:t>
      </w:r>
      <w:r w:rsidR="00330C3B" w:rsidRPr="0003637E">
        <w:rPr>
          <w:rFonts w:eastAsia="Times New Roman" w:cstheme="minorHAnsi"/>
          <w:sz w:val="24"/>
          <w:szCs w:val="24"/>
          <w:lang w:val="en-US"/>
        </w:rPr>
        <w:t>.</w:t>
      </w:r>
    </w:p>
    <w:p w14:paraId="33F92188" w14:textId="4A6AD1ED" w:rsidR="001E52D7" w:rsidRPr="0003637E" w:rsidRDefault="001E52D7" w:rsidP="0003637E">
      <w:pPr>
        <w:spacing w:after="120"/>
        <w:rPr>
          <w:rFonts w:eastAsia="Times New Roman" w:cstheme="minorHAnsi"/>
          <w:sz w:val="24"/>
          <w:szCs w:val="24"/>
          <w:lang w:val="en-US"/>
        </w:rPr>
      </w:pPr>
      <w:r w:rsidRPr="0003637E">
        <w:rPr>
          <w:rFonts w:eastAsia="Times New Roman" w:cstheme="minorHAnsi"/>
          <w:sz w:val="24"/>
          <w:szCs w:val="24"/>
          <w:lang w:val="en-US"/>
        </w:rPr>
        <w:t>……………</w:t>
      </w:r>
      <w:r w:rsidR="00171231" w:rsidRPr="0003637E">
        <w:rPr>
          <w:rFonts w:eastAsia="Times New Roman" w:cstheme="minorHAnsi"/>
          <w:sz w:val="24"/>
          <w:szCs w:val="24"/>
          <w:lang w:val="en-US"/>
        </w:rPr>
        <w:t>……………………………………………………………………….(3)</w:t>
      </w:r>
    </w:p>
    <w:p w14:paraId="77883120" w14:textId="58F94FBE" w:rsidR="001E52D7" w:rsidRPr="0003637E" w:rsidRDefault="001E52D7" w:rsidP="0003637E">
      <w:pPr>
        <w:spacing w:after="120"/>
        <w:rPr>
          <w:rFonts w:eastAsia="Times New Roman" w:cstheme="minorHAnsi"/>
          <w:i/>
          <w:sz w:val="24"/>
          <w:szCs w:val="24"/>
          <w:lang w:val="en-US"/>
        </w:rPr>
      </w:pPr>
      <w:r w:rsidRPr="0003637E">
        <w:rPr>
          <w:rFonts w:eastAsia="Times New Roman" w:cstheme="minorHAnsi"/>
          <w:i/>
          <w:sz w:val="24"/>
          <w:szCs w:val="24"/>
          <w:lang w:val="en-US"/>
        </w:rPr>
        <w:lastRenderedPageBreak/>
        <w:t>(Place and date)</w:t>
      </w:r>
    </w:p>
    <w:p w14:paraId="3ED186D8" w14:textId="2D313F3E" w:rsidR="001E52D7" w:rsidRPr="0003637E" w:rsidRDefault="001E52D7" w:rsidP="0003637E">
      <w:pPr>
        <w:spacing w:after="120"/>
        <w:rPr>
          <w:rFonts w:eastAsia="Times New Roman" w:cstheme="minorHAnsi"/>
          <w:sz w:val="24"/>
          <w:szCs w:val="24"/>
          <w:lang w:val="en-US"/>
        </w:rPr>
      </w:pPr>
      <w:r w:rsidRPr="0003637E">
        <w:rPr>
          <w:rFonts w:eastAsia="Times New Roman" w:cstheme="minorHAnsi"/>
          <w:sz w:val="24"/>
          <w:szCs w:val="24"/>
          <w:lang w:val="en-US"/>
        </w:rPr>
        <w:t>...………</w:t>
      </w:r>
      <w:r w:rsidR="00171231" w:rsidRPr="0003637E">
        <w:rPr>
          <w:rFonts w:eastAsia="Times New Roman" w:cstheme="minorHAnsi"/>
          <w:sz w:val="24"/>
          <w:szCs w:val="24"/>
          <w:lang w:val="en-US"/>
        </w:rPr>
        <w:t>…………………………………………………………………………(4)</w:t>
      </w:r>
    </w:p>
    <w:p w14:paraId="59249671" w14:textId="072EEDCE" w:rsidR="00C103F0" w:rsidRPr="0003637E" w:rsidRDefault="001E52D7" w:rsidP="0003637E">
      <w:pPr>
        <w:rPr>
          <w:rFonts w:eastAsia="Times New Roman" w:cstheme="minorHAnsi"/>
          <w:i/>
          <w:sz w:val="24"/>
          <w:szCs w:val="24"/>
          <w:lang w:val="en-US"/>
        </w:rPr>
      </w:pPr>
      <w:r w:rsidRPr="0003637E">
        <w:rPr>
          <w:rFonts w:eastAsia="Times New Roman" w:cstheme="minorHAnsi"/>
          <w:i/>
          <w:sz w:val="24"/>
          <w:szCs w:val="24"/>
          <w:lang w:val="en-US"/>
        </w:rPr>
        <w:t>(Signature of the exporter, in addition to the name of the person signing the statement on origin has to be indicated in clear script)</w:t>
      </w:r>
    </w:p>
    <w:p w14:paraId="2380F5A7" w14:textId="716C87ED" w:rsidR="00DF246B" w:rsidRPr="0003637E" w:rsidRDefault="001E52D7" w:rsidP="0003637E">
      <w:pPr>
        <w:rPr>
          <w:rFonts w:eastAsia="Times New Roman" w:cstheme="minorHAnsi"/>
          <w:b/>
          <w:sz w:val="24"/>
          <w:szCs w:val="24"/>
          <w:lang w:val="pl-PL"/>
        </w:rPr>
      </w:pPr>
      <w:r w:rsidRPr="0003637E">
        <w:rPr>
          <w:rFonts w:eastAsia="Times New Roman" w:cstheme="minorHAnsi"/>
          <w:b/>
          <w:sz w:val="24"/>
          <w:szCs w:val="24"/>
          <w:lang w:val="pl-PL"/>
        </w:rPr>
        <w:t>O</w:t>
      </w:r>
      <w:r w:rsidR="00EB11A1" w:rsidRPr="0003637E">
        <w:rPr>
          <w:rFonts w:eastAsia="Times New Roman" w:cstheme="minorHAnsi"/>
          <w:b/>
          <w:sz w:val="24"/>
          <w:szCs w:val="24"/>
          <w:lang w:val="pl-PL"/>
        </w:rPr>
        <w:t>ŚWIADCZENIE O POCHODZENIU</w:t>
      </w:r>
      <w:r w:rsidRPr="0003637E">
        <w:rPr>
          <w:rFonts w:eastAsia="Times New Roman" w:cstheme="minorHAnsi"/>
          <w:b/>
          <w:sz w:val="24"/>
          <w:szCs w:val="24"/>
          <w:lang w:val="pl-PL"/>
        </w:rPr>
        <w:t xml:space="preserve"> </w:t>
      </w:r>
      <w:r w:rsidR="00EB11A1" w:rsidRPr="0003637E">
        <w:rPr>
          <w:rFonts w:eastAsia="Times New Roman" w:cstheme="minorHAnsi"/>
          <w:b/>
          <w:sz w:val="24"/>
          <w:szCs w:val="24"/>
          <w:lang w:val="pl-PL"/>
        </w:rPr>
        <w:t>(w</w:t>
      </w:r>
      <w:r w:rsidRPr="0003637E">
        <w:rPr>
          <w:rFonts w:eastAsia="Times New Roman" w:cstheme="minorHAnsi"/>
          <w:b/>
          <w:sz w:val="24"/>
          <w:szCs w:val="24"/>
          <w:lang w:val="pl-PL"/>
        </w:rPr>
        <w:t>ersja polska</w:t>
      </w:r>
      <w:r w:rsidR="00EB11A1" w:rsidRPr="0003637E">
        <w:rPr>
          <w:rFonts w:eastAsia="Times New Roman" w:cstheme="minorHAnsi"/>
          <w:b/>
          <w:sz w:val="24"/>
          <w:szCs w:val="24"/>
          <w:lang w:val="pl-PL"/>
        </w:rPr>
        <w:t>)</w:t>
      </w:r>
    </w:p>
    <w:p w14:paraId="0088C854" w14:textId="667455BA" w:rsidR="00C103F0" w:rsidRPr="0003637E" w:rsidRDefault="00C103F0" w:rsidP="0003637E">
      <w:pPr>
        <w:spacing w:after="120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Eksporter produktów objętych niniejszym dokumentem (</w:t>
      </w:r>
      <w:r w:rsidR="00BA0C50" w:rsidRPr="0003637E">
        <w:rPr>
          <w:rFonts w:eastAsia="Times New Roman" w:cstheme="minorHAnsi"/>
          <w:sz w:val="24"/>
          <w:szCs w:val="24"/>
          <w:lang w:val="pl-PL"/>
        </w:rPr>
        <w:t xml:space="preserve">nr </w:t>
      </w:r>
      <w:r w:rsidRPr="0003637E">
        <w:rPr>
          <w:rFonts w:eastAsia="Times New Roman" w:cstheme="minorHAnsi"/>
          <w:sz w:val="24"/>
          <w:szCs w:val="24"/>
          <w:lang w:val="pl-PL"/>
        </w:rPr>
        <w:t>rejestracj</w:t>
      </w:r>
      <w:r w:rsidR="00BA0C50" w:rsidRPr="0003637E">
        <w:rPr>
          <w:rFonts w:eastAsia="Times New Roman" w:cstheme="minorHAnsi"/>
          <w:sz w:val="24"/>
          <w:szCs w:val="24"/>
          <w:lang w:val="pl-PL"/>
        </w:rPr>
        <w:t>i</w:t>
      </w:r>
      <w:r w:rsidRPr="0003637E">
        <w:rPr>
          <w:rFonts w:eastAsia="Times New Roman" w:cstheme="minorHAnsi"/>
          <w:b/>
          <w:sz w:val="24"/>
          <w:szCs w:val="24"/>
          <w:lang w:val="pl-PL"/>
        </w:rPr>
        <w:t>...(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1)) </w:t>
      </w:r>
      <w:r w:rsidR="00503222">
        <w:rPr>
          <w:rFonts w:eastAsia="Times New Roman" w:cstheme="minorHAnsi"/>
          <w:sz w:val="24"/>
          <w:szCs w:val="24"/>
          <w:lang w:val="pl-PL"/>
        </w:rPr>
        <w:t>deklaruje, że z </w:t>
      </w:r>
      <w:r w:rsidR="00DF246B" w:rsidRPr="0003637E">
        <w:rPr>
          <w:rFonts w:eastAsia="Times New Roman" w:cstheme="minorHAnsi"/>
          <w:sz w:val="24"/>
          <w:szCs w:val="24"/>
          <w:lang w:val="pl-PL"/>
        </w:rPr>
        <w:t>wyjątkiem gdzie jest to wyraźnie określone, produkty te mają...(2) preferencyjne pochodzenie</w:t>
      </w:r>
      <w:r w:rsidR="00330C3B" w:rsidRPr="0003637E">
        <w:rPr>
          <w:rFonts w:eastAsia="Times New Roman" w:cstheme="minorHAnsi"/>
          <w:sz w:val="24"/>
          <w:szCs w:val="24"/>
          <w:lang w:val="pl-PL"/>
        </w:rPr>
        <w:t>.</w:t>
      </w:r>
    </w:p>
    <w:p w14:paraId="1A79EF12" w14:textId="77777777" w:rsidR="00C103F0" w:rsidRPr="0003637E" w:rsidRDefault="00C103F0" w:rsidP="0003637E">
      <w:pPr>
        <w:spacing w:after="120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....................................................................................................(3)</w:t>
      </w:r>
    </w:p>
    <w:p w14:paraId="52D553FD" w14:textId="7CDDCBD6" w:rsidR="00C103F0" w:rsidRPr="0003637E" w:rsidRDefault="00C103F0" w:rsidP="0003637E">
      <w:pPr>
        <w:spacing w:after="120"/>
        <w:rPr>
          <w:rFonts w:eastAsia="Times New Roman" w:cstheme="minorHAnsi"/>
          <w:i/>
          <w:sz w:val="24"/>
          <w:szCs w:val="24"/>
          <w:lang w:val="pl-PL"/>
        </w:rPr>
      </w:pPr>
      <w:r w:rsidRPr="0003637E">
        <w:rPr>
          <w:rFonts w:eastAsia="Times New Roman" w:cstheme="minorHAnsi"/>
          <w:i/>
          <w:sz w:val="24"/>
          <w:szCs w:val="24"/>
          <w:lang w:val="pl-PL"/>
        </w:rPr>
        <w:t>(Miejs</w:t>
      </w:r>
      <w:r w:rsidR="00DF246B" w:rsidRPr="0003637E">
        <w:rPr>
          <w:rFonts w:eastAsia="Times New Roman" w:cstheme="minorHAnsi"/>
          <w:i/>
          <w:sz w:val="24"/>
          <w:szCs w:val="24"/>
          <w:lang w:val="pl-PL"/>
        </w:rPr>
        <w:t>cowość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 xml:space="preserve"> i data)</w:t>
      </w:r>
    </w:p>
    <w:p w14:paraId="5D03FD11" w14:textId="77777777" w:rsidR="00C103F0" w:rsidRPr="0003637E" w:rsidRDefault="00C103F0" w:rsidP="0003637E">
      <w:pPr>
        <w:spacing w:after="120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......................................................................................................(4)</w:t>
      </w:r>
    </w:p>
    <w:p w14:paraId="7D1069C3" w14:textId="66FC2C9F" w:rsidR="00C103F0" w:rsidRPr="0003637E" w:rsidRDefault="00C103F0" w:rsidP="0003637E">
      <w:pPr>
        <w:pBdr>
          <w:bottom w:val="single" w:sz="12" w:space="1" w:color="auto"/>
        </w:pBdr>
        <w:rPr>
          <w:rFonts w:eastAsia="Times New Roman" w:cstheme="minorHAnsi"/>
          <w:i/>
          <w:sz w:val="24"/>
          <w:szCs w:val="24"/>
          <w:lang w:val="pl-PL"/>
        </w:rPr>
      </w:pPr>
      <w:r w:rsidRPr="0003637E">
        <w:rPr>
          <w:rFonts w:eastAsia="Times New Roman" w:cstheme="minorHAnsi"/>
          <w:i/>
          <w:sz w:val="24"/>
          <w:szCs w:val="24"/>
          <w:lang w:val="pl-PL"/>
        </w:rPr>
        <w:t>(Podpis eksportera,</w:t>
      </w:r>
      <w:r w:rsidR="00DF246B" w:rsidRPr="0003637E">
        <w:rPr>
          <w:rFonts w:cstheme="minorHAnsi"/>
          <w:i/>
          <w:sz w:val="24"/>
          <w:szCs w:val="24"/>
          <w:lang w:val="pl-PL"/>
        </w:rPr>
        <w:t xml:space="preserve"> </w:t>
      </w:r>
      <w:r w:rsidR="00DF246B" w:rsidRPr="0003637E">
        <w:rPr>
          <w:rFonts w:eastAsia="Times New Roman" w:cstheme="minorHAnsi"/>
          <w:i/>
          <w:sz w:val="24"/>
          <w:szCs w:val="24"/>
          <w:lang w:val="pl-PL"/>
        </w:rPr>
        <w:t xml:space="preserve">dodatkowo czytelnie imię i nazwisko osoby podpisującej </w:t>
      </w:r>
      <w:r w:rsidR="00C84A9C" w:rsidRPr="0003637E">
        <w:rPr>
          <w:rFonts w:eastAsia="Times New Roman" w:cstheme="minorHAnsi"/>
          <w:i/>
          <w:sz w:val="24"/>
          <w:szCs w:val="24"/>
          <w:lang w:val="pl-PL"/>
        </w:rPr>
        <w:t>oświadczenie o </w:t>
      </w:r>
      <w:r w:rsidR="00DF246B" w:rsidRPr="0003637E">
        <w:rPr>
          <w:rFonts w:eastAsia="Times New Roman" w:cstheme="minorHAnsi"/>
          <w:i/>
          <w:sz w:val="24"/>
          <w:szCs w:val="24"/>
          <w:lang w:val="pl-PL"/>
        </w:rPr>
        <w:t>pochodzeniu</w:t>
      </w:r>
      <w:r w:rsidR="00171231" w:rsidRPr="0003637E">
        <w:rPr>
          <w:rFonts w:eastAsia="Times New Roman" w:cstheme="minorHAnsi"/>
          <w:i/>
          <w:sz w:val="24"/>
          <w:szCs w:val="24"/>
          <w:lang w:val="pl-PL"/>
        </w:rPr>
        <w:t>)</w:t>
      </w:r>
    </w:p>
    <w:p w14:paraId="0819D31E" w14:textId="77777777" w:rsidR="00171231" w:rsidRPr="0003637E" w:rsidRDefault="00171231" w:rsidP="0003637E">
      <w:pPr>
        <w:pBdr>
          <w:bottom w:val="single" w:sz="12" w:space="1" w:color="auto"/>
        </w:pBdr>
        <w:rPr>
          <w:rFonts w:eastAsia="Times New Roman" w:cstheme="minorHAnsi"/>
          <w:sz w:val="24"/>
          <w:szCs w:val="24"/>
          <w:lang w:val="pl-PL"/>
        </w:rPr>
      </w:pPr>
    </w:p>
    <w:p w14:paraId="286CA583" w14:textId="6F752448" w:rsidR="00DF246B" w:rsidRPr="0003637E" w:rsidRDefault="00EB11A1" w:rsidP="0003637E">
      <w:pPr>
        <w:rPr>
          <w:rFonts w:eastAsia="Times New Roman" w:cstheme="minorHAnsi"/>
          <w:b/>
          <w:sz w:val="24"/>
          <w:szCs w:val="24"/>
          <w:lang w:val="pl-PL"/>
        </w:rPr>
      </w:pPr>
      <w:r w:rsidRPr="0003637E">
        <w:rPr>
          <w:rFonts w:eastAsia="Times New Roman" w:cstheme="minorHAnsi"/>
          <w:b/>
          <w:sz w:val="24"/>
          <w:szCs w:val="24"/>
          <w:lang w:val="pl-PL"/>
        </w:rPr>
        <w:t>Przypisy dotyczące oświadczenia o pochodzeniu</w:t>
      </w:r>
    </w:p>
    <w:p w14:paraId="4124C2F7" w14:textId="4AA77E42" w:rsidR="00DF246B" w:rsidRPr="0003637E" w:rsidRDefault="00DF246B" w:rsidP="0003637E">
      <w:pPr>
        <w:spacing w:after="120"/>
        <w:ind w:left="142" w:hanging="142"/>
        <w:rPr>
          <w:rFonts w:eastAsia="Times New Roman" w:cstheme="minorHAnsi"/>
          <w:i/>
          <w:sz w:val="24"/>
          <w:szCs w:val="24"/>
          <w:lang w:val="pl-PL"/>
        </w:rPr>
      </w:pPr>
      <w:r w:rsidRPr="0003637E">
        <w:rPr>
          <w:rFonts w:eastAsia="Times New Roman" w:cstheme="minorHAnsi"/>
          <w:i/>
          <w:sz w:val="24"/>
          <w:szCs w:val="24"/>
          <w:lang w:val="pl-PL"/>
        </w:rPr>
        <w:lastRenderedPageBreak/>
        <w:t>(1)</w:t>
      </w:r>
      <w:r w:rsidR="00BA0C50" w:rsidRPr="0003637E">
        <w:rPr>
          <w:rFonts w:eastAsia="Times New Roman" w:cstheme="minorHAnsi"/>
          <w:i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 xml:space="preserve">Jeżeli </w:t>
      </w:r>
      <w:r w:rsidRPr="0003637E">
        <w:rPr>
          <w:rFonts w:eastAsia="Times New Roman" w:cstheme="minorHAnsi"/>
          <w:b/>
          <w:i/>
          <w:sz w:val="24"/>
          <w:szCs w:val="24"/>
          <w:lang w:val="pl-PL"/>
        </w:rPr>
        <w:t>oświadczenie o pochodzeniu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 xml:space="preserve"> sporządza zarejestrowany eksporter, w tym miejscu należy podać numer </w:t>
      </w:r>
      <w:r w:rsidR="009C4717" w:rsidRPr="0003637E">
        <w:rPr>
          <w:rFonts w:eastAsia="Times New Roman" w:cstheme="minorHAnsi"/>
          <w:i/>
          <w:sz w:val="24"/>
          <w:szCs w:val="24"/>
          <w:lang w:val="pl-PL"/>
        </w:rPr>
        <w:t>REX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 xml:space="preserve"> tego eksportera. Jeżeli </w:t>
      </w:r>
      <w:r w:rsidR="00846BAB" w:rsidRPr="0003637E">
        <w:rPr>
          <w:rFonts w:eastAsia="Times New Roman" w:cstheme="minorHAnsi"/>
          <w:b/>
          <w:i/>
          <w:sz w:val="24"/>
          <w:szCs w:val="24"/>
          <w:lang w:val="pl-PL"/>
        </w:rPr>
        <w:t>oświadczenie o</w:t>
      </w:r>
      <w:r w:rsidR="00846BAB" w:rsidRPr="0003637E">
        <w:rPr>
          <w:rFonts w:eastAsia="Times New Roman" w:cstheme="minorHAnsi"/>
          <w:i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b/>
          <w:i/>
          <w:sz w:val="24"/>
          <w:szCs w:val="24"/>
          <w:lang w:val="pl-PL"/>
        </w:rPr>
        <w:t>pochodzen</w:t>
      </w:r>
      <w:r w:rsidR="00846BAB" w:rsidRPr="0003637E">
        <w:rPr>
          <w:rFonts w:eastAsia="Times New Roman" w:cstheme="minorHAnsi"/>
          <w:b/>
          <w:i/>
          <w:sz w:val="24"/>
          <w:szCs w:val="24"/>
          <w:lang w:val="pl-PL"/>
        </w:rPr>
        <w:t>iu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 xml:space="preserve"> nie jest sporządzan</w:t>
      </w:r>
      <w:r w:rsidR="00846BAB" w:rsidRPr="0003637E">
        <w:rPr>
          <w:rFonts w:eastAsia="Times New Roman" w:cstheme="minorHAnsi"/>
          <w:i/>
          <w:sz w:val="24"/>
          <w:szCs w:val="24"/>
          <w:lang w:val="pl-PL"/>
        </w:rPr>
        <w:t xml:space="preserve">e 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 xml:space="preserve"> przez </w:t>
      </w:r>
      <w:r w:rsidR="00846BAB" w:rsidRPr="0003637E">
        <w:rPr>
          <w:rFonts w:eastAsia="Times New Roman" w:cstheme="minorHAnsi"/>
          <w:i/>
          <w:sz w:val="24"/>
          <w:szCs w:val="24"/>
          <w:lang w:val="pl-PL"/>
        </w:rPr>
        <w:t>zarejestrowanego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 xml:space="preserve"> eksportera, należy pominąć słowa w nawiasie lub pozostawić to miejsce niewypełnione.</w:t>
      </w:r>
    </w:p>
    <w:p w14:paraId="3A58620F" w14:textId="0055F1B0" w:rsidR="00DF246B" w:rsidRPr="0003637E" w:rsidRDefault="00DF246B" w:rsidP="0003637E">
      <w:pPr>
        <w:spacing w:after="120"/>
        <w:rPr>
          <w:rFonts w:eastAsia="Times New Roman" w:cstheme="minorHAnsi"/>
          <w:i/>
          <w:sz w:val="24"/>
          <w:szCs w:val="24"/>
          <w:lang w:val="pl-PL"/>
        </w:rPr>
      </w:pPr>
      <w:r w:rsidRPr="0003637E">
        <w:rPr>
          <w:rFonts w:eastAsia="Times New Roman" w:cstheme="minorHAnsi"/>
          <w:i/>
          <w:sz w:val="24"/>
          <w:szCs w:val="24"/>
          <w:lang w:val="pl-PL"/>
        </w:rPr>
        <w:t>(2)</w:t>
      </w:r>
      <w:r w:rsidR="00BA0C50" w:rsidRPr="0003637E">
        <w:rPr>
          <w:rFonts w:eastAsia="Times New Roman" w:cstheme="minorHAnsi"/>
          <w:i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>Należy wskazać pochodzenie produktów.</w:t>
      </w:r>
    </w:p>
    <w:p w14:paraId="6BB6BB9A" w14:textId="2B2833C7" w:rsidR="00DF246B" w:rsidRPr="0003637E" w:rsidRDefault="00DF246B" w:rsidP="0003637E">
      <w:pPr>
        <w:spacing w:after="120"/>
        <w:rPr>
          <w:rFonts w:eastAsia="Times New Roman" w:cstheme="minorHAnsi"/>
          <w:i/>
          <w:sz w:val="24"/>
          <w:szCs w:val="24"/>
          <w:lang w:val="pl-PL"/>
        </w:rPr>
      </w:pPr>
      <w:r w:rsidRPr="0003637E">
        <w:rPr>
          <w:rFonts w:eastAsia="Times New Roman" w:cstheme="minorHAnsi"/>
          <w:i/>
          <w:sz w:val="24"/>
          <w:szCs w:val="24"/>
          <w:lang w:val="pl-PL"/>
        </w:rPr>
        <w:t>(3)</w:t>
      </w:r>
      <w:r w:rsidR="00BA0C50" w:rsidRPr="0003637E">
        <w:rPr>
          <w:rFonts w:eastAsia="Times New Roman" w:cstheme="minorHAnsi"/>
          <w:i/>
          <w:sz w:val="24"/>
          <w:szCs w:val="24"/>
          <w:lang w:val="pl-PL"/>
        </w:rPr>
        <w:t xml:space="preserve"> Może 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>zostać pominięte, jeżeli odpowiednie informacje są zawarte w samym dokumencie.</w:t>
      </w:r>
    </w:p>
    <w:p w14:paraId="6B165965" w14:textId="45E17EA5" w:rsidR="00DF246B" w:rsidRPr="0003637E" w:rsidRDefault="00DF246B" w:rsidP="0003637E">
      <w:pPr>
        <w:spacing w:after="120"/>
        <w:ind w:left="142" w:hanging="142"/>
        <w:rPr>
          <w:rFonts w:eastAsia="Times New Roman" w:cstheme="minorHAnsi"/>
          <w:i/>
          <w:sz w:val="24"/>
          <w:szCs w:val="24"/>
          <w:lang w:val="pl-PL"/>
        </w:rPr>
      </w:pPr>
      <w:r w:rsidRPr="0003637E">
        <w:rPr>
          <w:rFonts w:eastAsia="Times New Roman" w:cstheme="minorHAnsi"/>
          <w:i/>
          <w:sz w:val="24"/>
          <w:szCs w:val="24"/>
          <w:lang w:val="pl-PL"/>
        </w:rPr>
        <w:t>(4)</w:t>
      </w:r>
      <w:r w:rsidR="00BA0C50" w:rsidRPr="0003637E">
        <w:rPr>
          <w:rFonts w:eastAsia="Times New Roman" w:cstheme="minorHAnsi"/>
          <w:i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>Jeżeli podpis eksportera nie jest wymagany, zwolnienie z obowiązku złożenia podpis</w:t>
      </w:r>
      <w:r w:rsidR="00C84A9C" w:rsidRPr="0003637E">
        <w:rPr>
          <w:rFonts w:eastAsia="Times New Roman" w:cstheme="minorHAnsi"/>
          <w:i/>
          <w:sz w:val="24"/>
          <w:szCs w:val="24"/>
          <w:lang w:val="pl-PL"/>
        </w:rPr>
        <w:t>u powoduje również zwolnienie z 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>obowiązku podania nazwiska podpisującego.</w:t>
      </w:r>
    </w:p>
    <w:p w14:paraId="1E8B5633" w14:textId="7DC6B700" w:rsidR="006D2930" w:rsidRPr="0003637E" w:rsidRDefault="006D2930" w:rsidP="0003637E">
      <w:pPr>
        <w:spacing w:after="120"/>
        <w:ind w:left="142" w:hanging="142"/>
        <w:rPr>
          <w:rFonts w:eastAsia="Times New Roman" w:cstheme="minorHAnsi"/>
          <w:b/>
          <w:sz w:val="24"/>
          <w:szCs w:val="24"/>
          <w:lang w:val="pl-PL"/>
        </w:rPr>
      </w:pPr>
      <w:r w:rsidRPr="0003637E">
        <w:rPr>
          <w:rFonts w:eastAsia="Times New Roman" w:cstheme="minorHAnsi"/>
          <w:b/>
          <w:sz w:val="24"/>
          <w:szCs w:val="24"/>
          <w:lang w:val="pl-PL"/>
        </w:rPr>
        <w:t>--------------------------------------------------------------------------------------------------------------------------------------------------------------------------</w:t>
      </w:r>
    </w:p>
    <w:p w14:paraId="0D94DE18" w14:textId="44BD3113" w:rsidR="00C103F0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W przypadku towarów pochodzących z UE </w:t>
      </w:r>
      <w:r w:rsidR="00BA0C50" w:rsidRPr="0003637E">
        <w:rPr>
          <w:rFonts w:eastAsia="Times New Roman" w:cstheme="minorHAnsi"/>
          <w:sz w:val="24"/>
          <w:szCs w:val="24"/>
          <w:lang w:val="pl-PL"/>
        </w:rPr>
        <w:t xml:space="preserve">zamiast pełniej nazwy Unii Europejskiej można </w:t>
      </w:r>
      <w:r w:rsidR="00503222">
        <w:rPr>
          <w:rFonts w:eastAsia="Times New Roman" w:cstheme="minorHAnsi"/>
          <w:sz w:val="24"/>
          <w:szCs w:val="24"/>
          <w:lang w:val="pl-PL"/>
        </w:rPr>
        <w:t>w </w:t>
      </w:r>
      <w:r w:rsidR="009E1AC6" w:rsidRPr="0003637E">
        <w:rPr>
          <w:rFonts w:eastAsia="Times New Roman" w:cstheme="minorHAnsi"/>
          <w:sz w:val="24"/>
          <w:szCs w:val="24"/>
          <w:lang w:val="pl-PL"/>
        </w:rPr>
        <w:t xml:space="preserve">wersji angielskiej oświadczenia </w:t>
      </w:r>
      <w:r w:rsidR="00BA0C50" w:rsidRPr="0003637E">
        <w:rPr>
          <w:rFonts w:eastAsia="Times New Roman" w:cstheme="minorHAnsi"/>
          <w:sz w:val="24"/>
          <w:szCs w:val="24"/>
          <w:lang w:val="pl-PL"/>
        </w:rPr>
        <w:t>użyć skrótu „EU”</w:t>
      </w:r>
      <w:r w:rsidRPr="0003637E">
        <w:rPr>
          <w:rFonts w:eastAsia="Times New Roman" w:cstheme="minorHAnsi"/>
          <w:sz w:val="24"/>
          <w:szCs w:val="24"/>
          <w:lang w:val="pl-PL"/>
        </w:rPr>
        <w:t>.</w:t>
      </w:r>
    </w:p>
    <w:p w14:paraId="7FE923C6" w14:textId="0380BD8D" w:rsidR="00C103F0" w:rsidRPr="0003637E" w:rsidRDefault="00C103F0" w:rsidP="0003637E">
      <w:pPr>
        <w:pStyle w:val="Akapitzlist"/>
        <w:numPr>
          <w:ilvl w:val="0"/>
          <w:numId w:val="34"/>
        </w:numPr>
        <w:ind w:left="567" w:hanging="567"/>
        <w:rPr>
          <w:rFonts w:eastAsia="Times New Roman" w:cstheme="minorHAnsi"/>
          <w:sz w:val="24"/>
          <w:szCs w:val="24"/>
          <w:u w:val="single"/>
          <w:lang w:val="pl-PL"/>
        </w:rPr>
      </w:pP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>Podpis</w:t>
      </w:r>
      <w:r w:rsidR="003232BF" w:rsidRPr="0003637E">
        <w:rPr>
          <w:rFonts w:eastAsia="Times New Roman" w:cstheme="minorHAnsi"/>
          <w:sz w:val="24"/>
          <w:szCs w:val="24"/>
          <w:u w:val="single"/>
          <w:lang w:val="pl-PL"/>
        </w:rPr>
        <w:t>ywanie</w:t>
      </w: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 oświadcze</w:t>
      </w:r>
      <w:r w:rsidR="003232BF" w:rsidRPr="0003637E">
        <w:rPr>
          <w:rFonts w:eastAsia="Times New Roman" w:cstheme="minorHAnsi"/>
          <w:sz w:val="24"/>
          <w:szCs w:val="24"/>
          <w:u w:val="single"/>
          <w:lang w:val="pl-PL"/>
        </w:rPr>
        <w:t>ń</w:t>
      </w: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 o pochodzeniu</w:t>
      </w:r>
    </w:p>
    <w:p w14:paraId="2E0E53A0" w14:textId="2C0DBB03" w:rsidR="00C103F0" w:rsidRPr="0003637E" w:rsidRDefault="00C103F0" w:rsidP="0003637E">
      <w:pPr>
        <w:spacing w:after="120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lastRenderedPageBreak/>
        <w:t>Na podstawie art. 19 ust. 4</w:t>
      </w:r>
      <w:r w:rsidR="00816D2D" w:rsidRPr="0003637E">
        <w:rPr>
          <w:rFonts w:cstheme="minorHAnsi"/>
          <w:sz w:val="24"/>
          <w:szCs w:val="24"/>
          <w:lang w:val="pl-PL"/>
        </w:rPr>
        <w:t xml:space="preserve"> </w:t>
      </w:r>
      <w:r w:rsidR="005B2D27" w:rsidRPr="0003637E">
        <w:rPr>
          <w:rFonts w:cstheme="minorHAnsi"/>
          <w:sz w:val="24"/>
          <w:szCs w:val="24"/>
          <w:lang w:val="pl-PL"/>
        </w:rPr>
        <w:t>P</w:t>
      </w:r>
      <w:r w:rsidR="00816D2D" w:rsidRPr="0003637E">
        <w:rPr>
          <w:rFonts w:eastAsia="Times New Roman" w:cstheme="minorHAnsi"/>
          <w:sz w:val="24"/>
          <w:szCs w:val="24"/>
          <w:lang w:val="pl-PL"/>
        </w:rPr>
        <w:t>rotokołu 1</w:t>
      </w:r>
      <w:r w:rsidRPr="0003637E">
        <w:rPr>
          <w:rFonts w:eastAsia="Times New Roman" w:cstheme="minorHAnsi"/>
          <w:sz w:val="24"/>
          <w:szCs w:val="24"/>
          <w:lang w:val="pl-PL"/>
        </w:rPr>
        <w:t>:</w:t>
      </w:r>
    </w:p>
    <w:p w14:paraId="3A3E134C" w14:textId="4D801711" w:rsidR="0003637E" w:rsidRDefault="00C9799E" w:rsidP="0003637E">
      <w:pPr>
        <w:spacing w:after="0"/>
        <w:ind w:left="142" w:hanging="142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- </w:t>
      </w:r>
      <w:r w:rsidR="003232BF" w:rsidRPr="0003637E">
        <w:rPr>
          <w:rFonts w:eastAsia="Times New Roman" w:cstheme="minorHAnsi"/>
          <w:sz w:val="24"/>
          <w:szCs w:val="24"/>
          <w:u w:val="single"/>
          <w:lang w:val="pl-PL"/>
        </w:rPr>
        <w:t>o</w:t>
      </w:r>
      <w:r w:rsidR="00C103F0" w:rsidRPr="0003637E">
        <w:rPr>
          <w:rFonts w:eastAsia="Times New Roman" w:cstheme="minorHAnsi"/>
          <w:sz w:val="24"/>
          <w:szCs w:val="24"/>
          <w:u w:val="single"/>
          <w:lang w:val="pl-PL"/>
        </w:rPr>
        <w:t>świadczenia o pochodzeniu sporządzone przez zarejestrowanych eksporterów nie muszą być podpisywane</w:t>
      </w:r>
      <w:r w:rsidR="008D63D3">
        <w:rPr>
          <w:rFonts w:eastAsia="Times New Roman" w:cstheme="minorHAnsi"/>
          <w:sz w:val="24"/>
          <w:szCs w:val="24"/>
          <w:lang w:val="pl-PL"/>
        </w:rPr>
        <w:t>,</w:t>
      </w:r>
    </w:p>
    <w:p w14:paraId="45F7F5E2" w14:textId="77777777" w:rsidR="0003637E" w:rsidRDefault="0003637E" w:rsidP="0003637E">
      <w:pPr>
        <w:spacing w:after="0"/>
        <w:ind w:left="142" w:hanging="142"/>
        <w:rPr>
          <w:rFonts w:eastAsia="Times New Roman" w:cstheme="minorHAnsi"/>
          <w:sz w:val="24"/>
          <w:szCs w:val="24"/>
          <w:lang w:val="pl-PL"/>
        </w:rPr>
      </w:pPr>
    </w:p>
    <w:p w14:paraId="54A0B771" w14:textId="16D23F75" w:rsidR="0003637E" w:rsidRPr="00033D9A" w:rsidRDefault="00B85DAE" w:rsidP="005D0B38">
      <w:pPr>
        <w:spacing w:after="0"/>
        <w:ind w:left="142"/>
        <w:rPr>
          <w:rFonts w:eastAsia="Times New Roman" w:cstheme="minorHAnsi"/>
          <w:sz w:val="24"/>
          <w:szCs w:val="24"/>
          <w:lang w:val="pl-PL"/>
        </w:rPr>
      </w:pPr>
      <w:r w:rsidRPr="00033D9A">
        <w:rPr>
          <w:rFonts w:eastAsia="Times New Roman" w:cstheme="minorHAnsi"/>
          <w:sz w:val="24"/>
          <w:szCs w:val="24"/>
          <w:lang w:val="pl-PL"/>
        </w:rPr>
        <w:t>Wietnamskie organy celne</w:t>
      </w:r>
      <w:r w:rsidR="0003637E" w:rsidRPr="00033D9A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5D0B38" w:rsidRPr="00033D9A">
        <w:rPr>
          <w:rFonts w:eastAsia="Times New Roman" w:cstheme="minorHAnsi"/>
          <w:sz w:val="24"/>
          <w:szCs w:val="24"/>
          <w:lang w:val="pl-PL"/>
        </w:rPr>
        <w:t xml:space="preserve">(The General </w:t>
      </w:r>
      <w:proofErr w:type="spellStart"/>
      <w:r w:rsidR="005D0B38" w:rsidRPr="00033D9A">
        <w:rPr>
          <w:rFonts w:eastAsia="Times New Roman" w:cstheme="minorHAnsi"/>
          <w:sz w:val="24"/>
          <w:szCs w:val="24"/>
          <w:lang w:val="pl-PL"/>
        </w:rPr>
        <w:t>Department</w:t>
      </w:r>
      <w:proofErr w:type="spellEnd"/>
      <w:r w:rsidR="005D0B38" w:rsidRPr="00033D9A">
        <w:rPr>
          <w:rFonts w:eastAsia="Times New Roman" w:cstheme="minorHAnsi"/>
          <w:sz w:val="24"/>
          <w:szCs w:val="24"/>
          <w:lang w:val="pl-PL"/>
        </w:rPr>
        <w:t xml:space="preserve"> of </w:t>
      </w:r>
      <w:proofErr w:type="spellStart"/>
      <w:r w:rsidR="005D0B38" w:rsidRPr="00033D9A">
        <w:rPr>
          <w:rFonts w:eastAsia="Times New Roman" w:cstheme="minorHAnsi"/>
          <w:sz w:val="24"/>
          <w:szCs w:val="24"/>
          <w:lang w:val="pl-PL"/>
        </w:rPr>
        <w:t>Viet</w:t>
      </w:r>
      <w:proofErr w:type="spellEnd"/>
      <w:r w:rsidR="005D0B38" w:rsidRPr="00033D9A">
        <w:rPr>
          <w:rFonts w:eastAsia="Times New Roman" w:cstheme="minorHAnsi"/>
          <w:sz w:val="24"/>
          <w:szCs w:val="24"/>
          <w:lang w:val="pl-PL"/>
        </w:rPr>
        <w:t xml:space="preserve"> Nam </w:t>
      </w:r>
      <w:proofErr w:type="spellStart"/>
      <w:r w:rsidR="005D0B38" w:rsidRPr="00033D9A">
        <w:rPr>
          <w:rFonts w:eastAsia="Times New Roman" w:cstheme="minorHAnsi"/>
          <w:sz w:val="24"/>
          <w:szCs w:val="24"/>
          <w:lang w:val="pl-PL"/>
        </w:rPr>
        <w:t>Customs</w:t>
      </w:r>
      <w:proofErr w:type="spellEnd"/>
      <w:r w:rsidR="005D0B38" w:rsidRPr="00033D9A">
        <w:rPr>
          <w:rFonts w:eastAsia="Times New Roman" w:cstheme="minorHAnsi"/>
          <w:sz w:val="24"/>
          <w:szCs w:val="24"/>
          <w:lang w:val="pl-PL"/>
        </w:rPr>
        <w:t xml:space="preserve">) </w:t>
      </w:r>
      <w:r w:rsidRPr="00033D9A">
        <w:rPr>
          <w:rFonts w:eastAsia="Times New Roman" w:cstheme="minorHAnsi"/>
          <w:sz w:val="24"/>
          <w:szCs w:val="24"/>
          <w:lang w:val="pl-PL"/>
        </w:rPr>
        <w:t>wyda</w:t>
      </w:r>
      <w:r w:rsidR="0003637E" w:rsidRPr="00033D9A">
        <w:rPr>
          <w:rFonts w:eastAsia="Times New Roman" w:cstheme="minorHAnsi"/>
          <w:sz w:val="24"/>
          <w:szCs w:val="24"/>
          <w:lang w:val="pl-PL"/>
        </w:rPr>
        <w:t>ł</w:t>
      </w:r>
      <w:r w:rsidRPr="00033D9A">
        <w:rPr>
          <w:rFonts w:eastAsia="Times New Roman" w:cstheme="minorHAnsi"/>
          <w:sz w:val="24"/>
          <w:szCs w:val="24"/>
          <w:lang w:val="pl-PL"/>
        </w:rPr>
        <w:t>y</w:t>
      </w:r>
      <w:r w:rsidR="0003637E" w:rsidRPr="00033D9A">
        <w:rPr>
          <w:rFonts w:eastAsia="Times New Roman" w:cstheme="minorHAnsi"/>
          <w:sz w:val="24"/>
          <w:szCs w:val="24"/>
          <w:lang w:val="pl-PL"/>
        </w:rPr>
        <w:t xml:space="preserve"> dokument urzędowy nr 7735/TCHQ-GSQL z 8 grudnia 2020 r. zawierający szczegółowe informacje dotyczące braku wymogu </w:t>
      </w:r>
      <w:r w:rsidRPr="00033D9A">
        <w:rPr>
          <w:rFonts w:eastAsia="Times New Roman" w:cstheme="minorHAnsi"/>
          <w:sz w:val="24"/>
          <w:szCs w:val="24"/>
          <w:lang w:val="pl-PL"/>
        </w:rPr>
        <w:t xml:space="preserve">składania </w:t>
      </w:r>
      <w:r w:rsidR="0003637E" w:rsidRPr="00033D9A">
        <w:rPr>
          <w:rFonts w:eastAsia="Times New Roman" w:cstheme="minorHAnsi"/>
          <w:sz w:val="24"/>
          <w:szCs w:val="24"/>
          <w:lang w:val="pl-PL"/>
        </w:rPr>
        <w:t xml:space="preserve">podpisu </w:t>
      </w:r>
      <w:r w:rsidR="0069375C" w:rsidRPr="00033D9A">
        <w:rPr>
          <w:rFonts w:eastAsia="Times New Roman" w:cstheme="minorHAnsi"/>
          <w:sz w:val="24"/>
          <w:szCs w:val="24"/>
          <w:lang w:val="pl-PL"/>
        </w:rPr>
        <w:t>pod</w:t>
      </w:r>
      <w:r w:rsidR="005D0B38" w:rsidRPr="00033D9A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69375C" w:rsidRPr="00033D9A">
        <w:rPr>
          <w:rFonts w:eastAsia="Times New Roman" w:cstheme="minorHAnsi"/>
          <w:sz w:val="24"/>
          <w:szCs w:val="24"/>
          <w:lang w:val="pl-PL"/>
        </w:rPr>
        <w:t>oświadczeniem</w:t>
      </w:r>
      <w:r w:rsidR="0003637E" w:rsidRPr="00033D9A">
        <w:rPr>
          <w:rFonts w:eastAsia="Times New Roman" w:cstheme="minorHAnsi"/>
          <w:sz w:val="24"/>
          <w:szCs w:val="24"/>
          <w:lang w:val="pl-PL"/>
        </w:rPr>
        <w:t xml:space="preserve"> o pochodzeniu </w:t>
      </w:r>
      <w:r w:rsidR="005D0B38" w:rsidRPr="00033D9A">
        <w:rPr>
          <w:rFonts w:eastAsia="Times New Roman" w:cstheme="minorHAnsi"/>
          <w:sz w:val="24"/>
          <w:szCs w:val="24"/>
          <w:lang w:val="pl-PL"/>
        </w:rPr>
        <w:t>sporządzonym przez</w:t>
      </w:r>
      <w:r w:rsidR="0003637E" w:rsidRPr="00033D9A">
        <w:rPr>
          <w:rFonts w:eastAsia="Times New Roman" w:cstheme="minorHAnsi"/>
          <w:sz w:val="24"/>
          <w:szCs w:val="24"/>
          <w:lang w:val="pl-PL"/>
        </w:rPr>
        <w:t xml:space="preserve"> zarejestrowan</w:t>
      </w:r>
      <w:r w:rsidR="005D0B38" w:rsidRPr="00033D9A">
        <w:rPr>
          <w:rFonts w:eastAsia="Times New Roman" w:cstheme="minorHAnsi"/>
          <w:sz w:val="24"/>
          <w:szCs w:val="24"/>
          <w:lang w:val="pl-PL"/>
        </w:rPr>
        <w:t xml:space="preserve">ego unijnego eksportera. </w:t>
      </w:r>
      <w:r w:rsidR="0003637E" w:rsidRPr="00033D9A">
        <w:rPr>
          <w:rFonts w:eastAsia="Times New Roman" w:cstheme="minorHAnsi"/>
          <w:sz w:val="24"/>
          <w:szCs w:val="24"/>
          <w:lang w:val="pl-PL"/>
        </w:rPr>
        <w:t xml:space="preserve">Dokument ten może być </w:t>
      </w:r>
      <w:r w:rsidR="005D0B38" w:rsidRPr="00033D9A">
        <w:rPr>
          <w:rFonts w:eastAsia="Times New Roman" w:cstheme="minorHAnsi"/>
          <w:sz w:val="24"/>
          <w:szCs w:val="24"/>
          <w:lang w:val="pl-PL"/>
        </w:rPr>
        <w:t>p</w:t>
      </w:r>
      <w:r w:rsidR="0069375C" w:rsidRPr="00033D9A">
        <w:rPr>
          <w:rFonts w:eastAsia="Times New Roman" w:cstheme="minorHAnsi"/>
          <w:sz w:val="24"/>
          <w:szCs w:val="24"/>
          <w:lang w:val="pl-PL"/>
        </w:rPr>
        <w:t>rzy</w:t>
      </w:r>
      <w:r w:rsidR="005D0B38" w:rsidRPr="00033D9A">
        <w:rPr>
          <w:rFonts w:eastAsia="Times New Roman" w:cstheme="minorHAnsi"/>
          <w:sz w:val="24"/>
          <w:szCs w:val="24"/>
          <w:lang w:val="pl-PL"/>
        </w:rPr>
        <w:t>woływany</w:t>
      </w:r>
      <w:r w:rsidR="0003637E" w:rsidRPr="00033D9A">
        <w:rPr>
          <w:rFonts w:eastAsia="Times New Roman" w:cstheme="minorHAnsi"/>
          <w:sz w:val="24"/>
          <w:szCs w:val="24"/>
          <w:lang w:val="pl-PL"/>
        </w:rPr>
        <w:t xml:space="preserve"> przez </w:t>
      </w:r>
      <w:r w:rsidR="0069375C" w:rsidRPr="00033D9A">
        <w:rPr>
          <w:rFonts w:eastAsia="Times New Roman" w:cstheme="minorHAnsi"/>
          <w:sz w:val="24"/>
          <w:szCs w:val="24"/>
          <w:lang w:val="pl-PL"/>
        </w:rPr>
        <w:t>eksporterów i importerów w przypadkach pojawiania się</w:t>
      </w:r>
      <w:r w:rsidR="0003637E" w:rsidRPr="00033D9A">
        <w:rPr>
          <w:rFonts w:eastAsia="Times New Roman" w:cstheme="minorHAnsi"/>
          <w:sz w:val="24"/>
          <w:szCs w:val="24"/>
          <w:lang w:val="pl-PL"/>
        </w:rPr>
        <w:t xml:space="preserve"> trudności </w:t>
      </w:r>
      <w:r w:rsidR="0069375C" w:rsidRPr="00033D9A">
        <w:rPr>
          <w:rFonts w:eastAsia="Times New Roman" w:cstheme="minorHAnsi"/>
          <w:sz w:val="24"/>
          <w:szCs w:val="24"/>
          <w:lang w:val="pl-PL"/>
        </w:rPr>
        <w:t>z akceptacją oświadczenia przez wietnamskie organy celne, w kontekście</w:t>
      </w:r>
      <w:r w:rsidR="0003637E" w:rsidRPr="00033D9A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69375C" w:rsidRPr="00033D9A">
        <w:rPr>
          <w:rFonts w:eastAsia="Times New Roman" w:cstheme="minorHAnsi"/>
          <w:sz w:val="24"/>
          <w:szCs w:val="24"/>
          <w:lang w:val="pl-PL"/>
        </w:rPr>
        <w:t>podpisywania oświadczeń</w:t>
      </w:r>
      <w:r w:rsidR="0003637E" w:rsidRPr="00033D9A">
        <w:rPr>
          <w:rFonts w:eastAsia="Times New Roman" w:cstheme="minorHAnsi"/>
          <w:sz w:val="24"/>
          <w:szCs w:val="24"/>
          <w:lang w:val="pl-PL"/>
        </w:rPr>
        <w:t>.</w:t>
      </w:r>
    </w:p>
    <w:p w14:paraId="25FF9892" w14:textId="77777777" w:rsidR="005D0B38" w:rsidRPr="001A65A7" w:rsidRDefault="005D0B38" w:rsidP="0069375C">
      <w:pPr>
        <w:spacing w:after="0"/>
        <w:rPr>
          <w:rFonts w:eastAsia="Times New Roman" w:cstheme="minorHAnsi"/>
          <w:sz w:val="24"/>
          <w:szCs w:val="24"/>
          <w:lang w:val="pl-PL"/>
        </w:rPr>
      </w:pPr>
    </w:p>
    <w:p w14:paraId="76AADBCA" w14:textId="51ED14BC" w:rsidR="00C103F0" w:rsidRPr="0003637E" w:rsidRDefault="0069375C" w:rsidP="005D0B38">
      <w:pPr>
        <w:spacing w:after="0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N</w:t>
      </w:r>
      <w:r w:rsidR="003232BF" w:rsidRPr="0003637E">
        <w:rPr>
          <w:rFonts w:eastAsia="Times New Roman" w:cstheme="minorHAnsi"/>
          <w:sz w:val="24"/>
          <w:szCs w:val="24"/>
          <w:lang w:val="pl-PL"/>
        </w:rPr>
        <w:t>atomiast</w:t>
      </w:r>
    </w:p>
    <w:p w14:paraId="192D638D" w14:textId="0B963630" w:rsidR="003D116F" w:rsidRDefault="00C9799E" w:rsidP="0003637E">
      <w:pPr>
        <w:ind w:left="142" w:hanging="142"/>
        <w:rPr>
          <w:rFonts w:eastAsia="Times New Roman" w:cstheme="minorHAnsi"/>
          <w:sz w:val="24"/>
          <w:szCs w:val="24"/>
          <w:lang w:val="fr-FR"/>
        </w:rPr>
      </w:pP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- </w:t>
      </w:r>
      <w:r w:rsidR="003232BF" w:rsidRPr="0003637E">
        <w:rPr>
          <w:rFonts w:eastAsia="Times New Roman" w:cstheme="minorHAnsi"/>
          <w:sz w:val="24"/>
          <w:szCs w:val="24"/>
          <w:u w:val="single"/>
          <w:lang w:val="pl-PL"/>
        </w:rPr>
        <w:t>o</w:t>
      </w:r>
      <w:r w:rsidR="00C103F0" w:rsidRPr="0003637E">
        <w:rPr>
          <w:rFonts w:eastAsia="Times New Roman" w:cstheme="minorHAnsi"/>
          <w:sz w:val="24"/>
          <w:szCs w:val="24"/>
          <w:u w:val="single"/>
          <w:lang w:val="pl-PL"/>
        </w:rPr>
        <w:t>świadczenia o pochodzeniu sporządz</w:t>
      </w:r>
      <w:r w:rsidR="00503222">
        <w:rPr>
          <w:rFonts w:eastAsia="Times New Roman" w:cstheme="minorHAnsi"/>
          <w:sz w:val="24"/>
          <w:szCs w:val="24"/>
          <w:u w:val="single"/>
          <w:lang w:val="pl-PL"/>
        </w:rPr>
        <w:t>a</w:t>
      </w:r>
      <w:r w:rsidR="00C103F0"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ne przez eksportera, który nie jest zarejestrowany </w:t>
      </w:r>
      <w:r w:rsidR="003232BF"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w REX </w:t>
      </w:r>
      <w:r w:rsidR="00C103F0" w:rsidRPr="0003637E">
        <w:rPr>
          <w:rFonts w:eastAsia="Times New Roman" w:cstheme="minorHAnsi"/>
          <w:sz w:val="24"/>
          <w:szCs w:val="24"/>
          <w:u w:val="single"/>
          <w:lang w:val="pl-PL"/>
        </w:rPr>
        <w:t>(przesyłki o wartości poniżej 6000 EUR) muszą być</w:t>
      </w:r>
      <w:r w:rsidR="003232BF"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 </w:t>
      </w:r>
      <w:r w:rsidR="003D116F" w:rsidRPr="0003637E">
        <w:rPr>
          <w:rFonts w:eastAsia="Times New Roman" w:cstheme="minorHAnsi"/>
          <w:sz w:val="24"/>
          <w:szCs w:val="24"/>
          <w:u w:val="single"/>
          <w:lang w:val="pl-PL"/>
        </w:rPr>
        <w:t>opatrzone własnoręcznym podpisem eksportera</w:t>
      </w:r>
      <w:r w:rsidR="00097A46" w:rsidRPr="0003637E">
        <w:rPr>
          <w:rFonts w:eastAsia="Times New Roman" w:cstheme="minorHAnsi"/>
          <w:sz w:val="24"/>
          <w:szCs w:val="24"/>
          <w:lang w:val="pl-PL"/>
        </w:rPr>
        <w:t>;</w:t>
      </w:r>
      <w:r w:rsidR="003D116F" w:rsidRPr="0003637E">
        <w:rPr>
          <w:rFonts w:cstheme="minorHAnsi"/>
          <w:sz w:val="24"/>
          <w:szCs w:val="24"/>
          <w:lang w:val="fr-FR"/>
        </w:rPr>
        <w:t xml:space="preserve"> </w:t>
      </w:r>
      <w:r w:rsidR="00097A46" w:rsidRPr="0003637E">
        <w:rPr>
          <w:rFonts w:cstheme="minorHAnsi"/>
          <w:sz w:val="24"/>
          <w:szCs w:val="24"/>
          <w:lang w:val="fr-FR"/>
        </w:rPr>
        <w:t>d</w:t>
      </w:r>
      <w:r w:rsidR="003D116F" w:rsidRPr="0003637E">
        <w:rPr>
          <w:rFonts w:eastAsia="Times New Roman" w:cstheme="minorHAnsi"/>
          <w:sz w:val="24"/>
          <w:szCs w:val="24"/>
          <w:lang w:val="fr-FR"/>
        </w:rPr>
        <w:t xml:space="preserve">latego też oryginalny dokument, na którym </w:t>
      </w:r>
      <w:r w:rsidR="003D116F" w:rsidRPr="0003637E">
        <w:rPr>
          <w:rFonts w:eastAsia="Times New Roman" w:cstheme="minorHAnsi"/>
          <w:sz w:val="24"/>
          <w:szCs w:val="24"/>
          <w:lang w:val="fr-FR"/>
        </w:rPr>
        <w:lastRenderedPageBreak/>
        <w:t>sporządza się oświadczenie o pochodzeniu, powinien zostać dostarczony importerowi w Wietnamie.</w:t>
      </w:r>
    </w:p>
    <w:p w14:paraId="2FB72EEB" w14:textId="5E930B5E" w:rsidR="009D1D14" w:rsidRPr="00033D9A" w:rsidRDefault="009D1D14" w:rsidP="0069375C">
      <w:pPr>
        <w:pStyle w:val="Akapitzlist"/>
        <w:numPr>
          <w:ilvl w:val="0"/>
          <w:numId w:val="34"/>
        </w:numPr>
        <w:ind w:left="567" w:hanging="567"/>
        <w:rPr>
          <w:rFonts w:eastAsia="Times New Roman" w:cstheme="minorHAnsi"/>
          <w:sz w:val="24"/>
          <w:szCs w:val="24"/>
          <w:u w:val="single"/>
          <w:lang w:val="fr-FR"/>
        </w:rPr>
      </w:pPr>
      <w:r w:rsidRPr="00033D9A">
        <w:rPr>
          <w:rFonts w:eastAsia="Times New Roman" w:cstheme="minorHAnsi"/>
          <w:sz w:val="24"/>
          <w:szCs w:val="24"/>
          <w:u w:val="single"/>
          <w:lang w:val="fr-FR"/>
        </w:rPr>
        <w:t>Zgłoszenie przywozowe w Wietnamie, gdy towary są przewożone tranzytem przez państwo niebędące Stroną umowy.</w:t>
      </w:r>
    </w:p>
    <w:p w14:paraId="25291966" w14:textId="62898F1A" w:rsidR="009D1D14" w:rsidRDefault="009D1D14" w:rsidP="009B43BF">
      <w:pPr>
        <w:ind w:left="142"/>
        <w:rPr>
          <w:rFonts w:eastAsia="Times New Roman" w:cstheme="minorHAnsi"/>
          <w:sz w:val="24"/>
          <w:szCs w:val="24"/>
          <w:lang w:val="fr-FR"/>
        </w:rPr>
      </w:pPr>
      <w:r w:rsidRPr="00033D9A">
        <w:rPr>
          <w:rFonts w:eastAsia="Times New Roman" w:cstheme="minorHAnsi"/>
          <w:sz w:val="24"/>
          <w:szCs w:val="24"/>
          <w:lang w:val="fr-FR"/>
        </w:rPr>
        <w:t>Towary pochodzące z UE mogą być wywożone do Wietnamu poprzez terytorium państwa niebędącego stroną</w:t>
      </w:r>
      <w:r w:rsidR="00CE273C" w:rsidRPr="00033D9A">
        <w:rPr>
          <w:rFonts w:eastAsia="Times New Roman" w:cstheme="minorHAnsi"/>
          <w:sz w:val="24"/>
          <w:szCs w:val="24"/>
          <w:lang w:val="fr-FR"/>
        </w:rPr>
        <w:t xml:space="preserve"> umowy</w:t>
      </w:r>
      <w:r w:rsidRPr="00033D9A">
        <w:rPr>
          <w:rFonts w:eastAsia="Times New Roman" w:cstheme="minorHAnsi"/>
          <w:sz w:val="24"/>
          <w:szCs w:val="24"/>
          <w:lang w:val="fr-FR"/>
        </w:rPr>
        <w:t xml:space="preserve">, z poszanowaniem postanowień dotyczących transportu (art. 13 EVFTA). Ma to miejsce </w:t>
      </w:r>
      <w:r w:rsidR="00CE273C" w:rsidRPr="00033D9A">
        <w:rPr>
          <w:rFonts w:eastAsia="Times New Roman" w:cstheme="minorHAnsi"/>
          <w:sz w:val="24"/>
          <w:szCs w:val="24"/>
          <w:lang w:val="fr-FR"/>
        </w:rPr>
        <w:t xml:space="preserve">np. </w:t>
      </w:r>
      <w:r w:rsidR="00B85DAE" w:rsidRPr="00033D9A">
        <w:rPr>
          <w:rFonts w:eastAsia="Times New Roman" w:cstheme="minorHAnsi"/>
          <w:sz w:val="24"/>
          <w:szCs w:val="24"/>
          <w:lang w:val="fr-FR"/>
        </w:rPr>
        <w:t>w przypadku</w:t>
      </w:r>
      <w:r w:rsidRPr="00033D9A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B85DAE" w:rsidRPr="00033D9A">
        <w:rPr>
          <w:rFonts w:eastAsia="Times New Roman" w:cstheme="minorHAnsi"/>
          <w:sz w:val="24"/>
          <w:szCs w:val="24"/>
          <w:lang w:val="fr-FR"/>
        </w:rPr>
        <w:t xml:space="preserve">kiedy </w:t>
      </w:r>
      <w:r w:rsidR="009B43BF" w:rsidRPr="00033D9A">
        <w:rPr>
          <w:rFonts w:eastAsia="Times New Roman" w:cstheme="minorHAnsi"/>
          <w:sz w:val="24"/>
          <w:szCs w:val="24"/>
          <w:lang w:val="fr-FR"/>
        </w:rPr>
        <w:t>wykorzyst</w:t>
      </w:r>
      <w:r w:rsidR="00B85DAE" w:rsidRPr="00033D9A">
        <w:rPr>
          <w:rFonts w:eastAsia="Times New Roman" w:cstheme="minorHAnsi"/>
          <w:sz w:val="24"/>
          <w:szCs w:val="24"/>
          <w:lang w:val="fr-FR"/>
        </w:rPr>
        <w:t>ywane</w:t>
      </w:r>
      <w:r w:rsidR="00503222" w:rsidRPr="00033D9A">
        <w:rPr>
          <w:rFonts w:eastAsia="Times New Roman" w:cstheme="minorHAnsi"/>
          <w:sz w:val="24"/>
          <w:szCs w:val="24"/>
          <w:lang w:val="fr-FR"/>
        </w:rPr>
        <w:t xml:space="preserve"> są są centra logistyczne </w:t>
      </w:r>
      <w:r w:rsidR="00CE273C" w:rsidRPr="00033D9A">
        <w:rPr>
          <w:rFonts w:eastAsia="Times New Roman" w:cstheme="minorHAnsi"/>
          <w:sz w:val="24"/>
          <w:szCs w:val="24"/>
          <w:lang w:val="fr-FR"/>
        </w:rPr>
        <w:t>(logistic hubs).</w:t>
      </w:r>
      <w:r w:rsidR="009B43BF" w:rsidRPr="00033D9A">
        <w:rPr>
          <w:rFonts w:eastAsia="Times New Roman" w:cstheme="minorHAnsi"/>
          <w:sz w:val="24"/>
          <w:szCs w:val="24"/>
          <w:lang w:val="fr-FR"/>
        </w:rPr>
        <w:t xml:space="preserve"> </w:t>
      </w:r>
      <w:r w:rsidRPr="00033D9A">
        <w:rPr>
          <w:rFonts w:eastAsia="Times New Roman" w:cstheme="minorHAnsi"/>
          <w:sz w:val="24"/>
          <w:szCs w:val="24"/>
          <w:lang w:val="fr-FR"/>
        </w:rPr>
        <w:t xml:space="preserve">W takim przypadku system informatyczny </w:t>
      </w:r>
      <w:r w:rsidR="009B43BF" w:rsidRPr="00033D9A">
        <w:rPr>
          <w:rFonts w:eastAsia="Times New Roman" w:cstheme="minorHAnsi"/>
          <w:sz w:val="24"/>
          <w:szCs w:val="24"/>
          <w:lang w:val="fr-FR"/>
        </w:rPr>
        <w:t>obsługujący zgłoszenia celne</w:t>
      </w:r>
      <w:r w:rsidRPr="00033D9A">
        <w:rPr>
          <w:rFonts w:eastAsia="Times New Roman" w:cstheme="minorHAnsi"/>
          <w:sz w:val="24"/>
          <w:szCs w:val="24"/>
          <w:lang w:val="fr-FR"/>
        </w:rPr>
        <w:t xml:space="preserve"> w Wietnamie wymaga od importera/zgłas</w:t>
      </w:r>
      <w:r w:rsidR="009B43BF" w:rsidRPr="00033D9A">
        <w:rPr>
          <w:rFonts w:eastAsia="Times New Roman" w:cstheme="minorHAnsi"/>
          <w:sz w:val="24"/>
          <w:szCs w:val="24"/>
          <w:lang w:val="fr-FR"/>
        </w:rPr>
        <w:t>zającego</w:t>
      </w:r>
      <w:r w:rsidR="00B85DAE" w:rsidRPr="00033D9A">
        <w:rPr>
          <w:rFonts w:eastAsia="Times New Roman" w:cstheme="minorHAnsi"/>
          <w:sz w:val="24"/>
          <w:szCs w:val="24"/>
          <w:lang w:val="fr-FR"/>
        </w:rPr>
        <w:t xml:space="preserve"> wskazania</w:t>
      </w:r>
      <w:r w:rsidRPr="00033D9A">
        <w:rPr>
          <w:rFonts w:eastAsia="Times New Roman" w:cstheme="minorHAnsi"/>
          <w:sz w:val="24"/>
          <w:szCs w:val="24"/>
          <w:lang w:val="fr-FR"/>
        </w:rPr>
        <w:t xml:space="preserve"> kraju tranzytu. Obecnie, ze względu na błąd techniczny </w:t>
      </w:r>
      <w:r w:rsidR="00503222" w:rsidRPr="00033D9A">
        <w:rPr>
          <w:rFonts w:eastAsia="Times New Roman" w:cstheme="minorHAnsi"/>
          <w:sz w:val="24"/>
          <w:szCs w:val="24"/>
          <w:lang w:val="fr-FR"/>
        </w:rPr>
        <w:t>w systemie</w:t>
      </w:r>
      <w:r w:rsidRPr="00033D9A">
        <w:rPr>
          <w:rFonts w:eastAsia="Times New Roman" w:cstheme="minorHAnsi"/>
          <w:sz w:val="24"/>
          <w:szCs w:val="24"/>
          <w:lang w:val="fr-FR"/>
        </w:rPr>
        <w:t>, takie zgłoszeni</w:t>
      </w:r>
      <w:r w:rsidR="00503222" w:rsidRPr="00033D9A">
        <w:rPr>
          <w:rFonts w:eastAsia="Times New Roman" w:cstheme="minorHAnsi"/>
          <w:sz w:val="24"/>
          <w:szCs w:val="24"/>
          <w:lang w:val="fr-FR"/>
        </w:rPr>
        <w:t>a</w:t>
      </w:r>
      <w:r w:rsidRPr="00033D9A">
        <w:rPr>
          <w:rFonts w:eastAsia="Times New Roman" w:cstheme="minorHAnsi"/>
          <w:sz w:val="24"/>
          <w:szCs w:val="24"/>
          <w:lang w:val="fr-FR"/>
        </w:rPr>
        <w:t xml:space="preserve"> celne zostan</w:t>
      </w:r>
      <w:r w:rsidR="00503222" w:rsidRPr="00033D9A">
        <w:rPr>
          <w:rFonts w:eastAsia="Times New Roman" w:cstheme="minorHAnsi"/>
          <w:sz w:val="24"/>
          <w:szCs w:val="24"/>
          <w:lang w:val="fr-FR"/>
        </w:rPr>
        <w:t xml:space="preserve">ą automatycznie </w:t>
      </w:r>
      <w:r w:rsidR="009B43BF" w:rsidRPr="00033D9A">
        <w:rPr>
          <w:rFonts w:eastAsia="Times New Roman" w:cstheme="minorHAnsi"/>
          <w:sz w:val="24"/>
          <w:szCs w:val="24"/>
          <w:lang w:val="fr-FR"/>
        </w:rPr>
        <w:t>odrzucone.</w:t>
      </w:r>
      <w:r w:rsidRPr="00033D9A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503222" w:rsidRPr="00033D9A">
        <w:rPr>
          <w:rFonts w:eastAsia="Times New Roman" w:cstheme="minorHAnsi"/>
          <w:sz w:val="24"/>
          <w:szCs w:val="24"/>
          <w:lang w:val="fr-FR"/>
        </w:rPr>
        <w:t>Do czasu jego usunięcia</w:t>
      </w:r>
      <w:r w:rsidRPr="00033D9A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503222" w:rsidRPr="00033D9A">
        <w:rPr>
          <w:rFonts w:eastAsia="Times New Roman" w:cstheme="minorHAnsi"/>
          <w:sz w:val="24"/>
          <w:szCs w:val="24"/>
          <w:lang w:val="fr-FR"/>
        </w:rPr>
        <w:t>w</w:t>
      </w:r>
      <w:r w:rsidR="009B43BF" w:rsidRPr="00033D9A">
        <w:rPr>
          <w:rFonts w:eastAsia="Times New Roman" w:cstheme="minorHAnsi"/>
          <w:sz w:val="24"/>
          <w:szCs w:val="24"/>
          <w:lang w:val="fr-FR"/>
        </w:rPr>
        <w:t>ietnamskie organy celne proszą o</w:t>
      </w:r>
      <w:r w:rsidRPr="00033D9A">
        <w:rPr>
          <w:rFonts w:eastAsia="Times New Roman" w:cstheme="minorHAnsi"/>
          <w:sz w:val="24"/>
          <w:szCs w:val="24"/>
          <w:lang w:val="fr-FR"/>
        </w:rPr>
        <w:t xml:space="preserve"> wskaz</w:t>
      </w:r>
      <w:r w:rsidR="00503222" w:rsidRPr="00033D9A">
        <w:rPr>
          <w:rFonts w:eastAsia="Times New Roman" w:cstheme="minorHAnsi"/>
          <w:sz w:val="24"/>
          <w:szCs w:val="24"/>
          <w:lang w:val="fr-FR"/>
        </w:rPr>
        <w:t>ywanie</w:t>
      </w:r>
      <w:r w:rsidRPr="00033D9A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9B43BF" w:rsidRPr="00033D9A">
        <w:rPr>
          <w:rFonts w:eastAsia="Times New Roman" w:cstheme="minorHAnsi"/>
          <w:sz w:val="24"/>
          <w:szCs w:val="24"/>
          <w:lang w:val="fr-FR"/>
        </w:rPr>
        <w:t>(</w:t>
      </w:r>
      <w:r w:rsidR="00503222" w:rsidRPr="00033D9A">
        <w:rPr>
          <w:rFonts w:eastAsia="Times New Roman" w:cstheme="minorHAnsi"/>
          <w:sz w:val="24"/>
          <w:szCs w:val="24"/>
          <w:lang w:val="fr-FR"/>
        </w:rPr>
        <w:t>jako</w:t>
      </w:r>
      <w:r w:rsidR="009B43BF" w:rsidRPr="00033D9A">
        <w:rPr>
          <w:rFonts w:eastAsia="Times New Roman" w:cstheme="minorHAnsi"/>
          <w:sz w:val="24"/>
          <w:szCs w:val="24"/>
          <w:lang w:val="fr-FR"/>
        </w:rPr>
        <w:t xml:space="preserve"> rozwiązani</w:t>
      </w:r>
      <w:r w:rsidR="00503222" w:rsidRPr="00033D9A">
        <w:rPr>
          <w:rFonts w:eastAsia="Times New Roman" w:cstheme="minorHAnsi"/>
          <w:sz w:val="24"/>
          <w:szCs w:val="24"/>
          <w:lang w:val="fr-FR"/>
        </w:rPr>
        <w:t>e</w:t>
      </w:r>
      <w:r w:rsidR="009B43BF" w:rsidRPr="00033D9A">
        <w:rPr>
          <w:rFonts w:eastAsia="Times New Roman" w:cstheme="minorHAnsi"/>
          <w:sz w:val="24"/>
          <w:szCs w:val="24"/>
          <w:lang w:val="fr-FR"/>
        </w:rPr>
        <w:t xml:space="preserve"> tymczasowe) </w:t>
      </w:r>
      <w:r w:rsidRPr="00033D9A">
        <w:rPr>
          <w:rFonts w:eastAsia="Times New Roman" w:cstheme="minorHAnsi"/>
          <w:sz w:val="24"/>
          <w:szCs w:val="24"/>
          <w:lang w:val="fr-FR"/>
        </w:rPr>
        <w:t>kraju wywozu w UE zamiast rzeczywistego kraju tranzytu.</w:t>
      </w:r>
    </w:p>
    <w:p w14:paraId="13C57733" w14:textId="77777777" w:rsidR="00033D9A" w:rsidRPr="00033D9A" w:rsidRDefault="00033D9A" w:rsidP="009B43BF">
      <w:pPr>
        <w:ind w:left="142"/>
        <w:rPr>
          <w:rFonts w:eastAsia="Times New Roman" w:cstheme="minorHAnsi"/>
          <w:sz w:val="24"/>
          <w:szCs w:val="24"/>
          <w:lang w:val="fr-FR"/>
        </w:rPr>
      </w:pPr>
    </w:p>
    <w:p w14:paraId="4D2D85D0" w14:textId="69203606" w:rsidR="00C103F0" w:rsidRPr="00033D9A" w:rsidRDefault="005B2D27" w:rsidP="0003637E">
      <w:pPr>
        <w:rPr>
          <w:rFonts w:eastAsia="Times New Roman" w:cstheme="minorHAnsi"/>
          <w:sz w:val="24"/>
          <w:szCs w:val="24"/>
          <w:lang w:val="fr-FR"/>
        </w:rPr>
      </w:pPr>
      <w:r w:rsidRPr="0003637E">
        <w:rPr>
          <w:rFonts w:eastAsia="Times New Roman" w:cstheme="minorHAnsi"/>
          <w:b/>
          <w:sz w:val="24"/>
          <w:szCs w:val="24"/>
          <w:lang w:val="pl-PL"/>
        </w:rPr>
        <w:lastRenderedPageBreak/>
        <w:t xml:space="preserve">II. </w:t>
      </w:r>
      <w:r w:rsidR="00C103F0" w:rsidRPr="0003637E">
        <w:rPr>
          <w:rFonts w:eastAsia="Times New Roman" w:cstheme="minorHAnsi"/>
          <w:b/>
          <w:sz w:val="24"/>
          <w:szCs w:val="24"/>
          <w:lang w:val="pl-PL"/>
        </w:rPr>
        <w:t xml:space="preserve">Dowód pochodzenia </w:t>
      </w:r>
      <w:r w:rsidR="00FE6738" w:rsidRPr="0003637E">
        <w:rPr>
          <w:rFonts w:eastAsia="Times New Roman" w:cstheme="minorHAnsi"/>
          <w:b/>
          <w:sz w:val="24"/>
          <w:szCs w:val="24"/>
          <w:lang w:val="pl-PL"/>
        </w:rPr>
        <w:t xml:space="preserve">dla </w:t>
      </w:r>
      <w:r w:rsidR="00C103F0" w:rsidRPr="0003637E">
        <w:rPr>
          <w:rFonts w:eastAsia="Times New Roman" w:cstheme="minorHAnsi"/>
          <w:b/>
          <w:sz w:val="24"/>
          <w:szCs w:val="24"/>
          <w:lang w:val="pl-PL"/>
        </w:rPr>
        <w:t xml:space="preserve">produktów pochodzących z </w:t>
      </w:r>
      <w:r w:rsidR="00FE6738" w:rsidRPr="0003637E">
        <w:rPr>
          <w:rFonts w:eastAsia="Times New Roman" w:cstheme="minorHAnsi"/>
          <w:b/>
          <w:sz w:val="24"/>
          <w:szCs w:val="24"/>
          <w:lang w:val="pl-PL"/>
        </w:rPr>
        <w:t>Wietnamu</w:t>
      </w:r>
      <w:r w:rsidR="00C103F0" w:rsidRPr="0003637E">
        <w:rPr>
          <w:rFonts w:eastAsia="Times New Roman" w:cstheme="minorHAnsi"/>
          <w:b/>
          <w:sz w:val="24"/>
          <w:szCs w:val="24"/>
          <w:lang w:val="pl-PL"/>
        </w:rPr>
        <w:t xml:space="preserve"> wywożonych do U</w:t>
      </w:r>
      <w:r w:rsidRPr="0003637E">
        <w:rPr>
          <w:rFonts w:eastAsia="Times New Roman" w:cstheme="minorHAnsi"/>
          <w:b/>
          <w:sz w:val="24"/>
          <w:szCs w:val="24"/>
          <w:lang w:val="pl-PL"/>
        </w:rPr>
        <w:t xml:space="preserve">nii </w:t>
      </w:r>
      <w:r w:rsidR="00C103F0" w:rsidRPr="0003637E">
        <w:rPr>
          <w:rFonts w:eastAsia="Times New Roman" w:cstheme="minorHAnsi"/>
          <w:b/>
          <w:sz w:val="24"/>
          <w:szCs w:val="24"/>
          <w:lang w:val="pl-PL"/>
        </w:rPr>
        <w:t>E</w:t>
      </w:r>
      <w:r w:rsidRPr="0003637E">
        <w:rPr>
          <w:rFonts w:eastAsia="Times New Roman" w:cstheme="minorHAnsi"/>
          <w:b/>
          <w:sz w:val="24"/>
          <w:szCs w:val="24"/>
          <w:lang w:val="pl-PL"/>
        </w:rPr>
        <w:t>uropejskiej</w:t>
      </w:r>
    </w:p>
    <w:p w14:paraId="68BF047A" w14:textId="052AAB20" w:rsidR="00C103F0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Artykuł 15 ust. 2 </w:t>
      </w:r>
      <w:r w:rsidR="0096594F" w:rsidRPr="0003637E">
        <w:rPr>
          <w:rFonts w:eastAsia="Times New Roman" w:cstheme="minorHAnsi"/>
          <w:sz w:val="24"/>
          <w:szCs w:val="24"/>
          <w:lang w:val="pl-PL"/>
        </w:rPr>
        <w:t>Protokołu 1</w:t>
      </w:r>
      <w:r w:rsidR="004B58BE" w:rsidRPr="0003637E">
        <w:rPr>
          <w:rFonts w:eastAsia="Times New Roman" w:cstheme="minorHAnsi"/>
          <w:sz w:val="24"/>
          <w:szCs w:val="24"/>
          <w:lang w:val="pl-PL"/>
        </w:rPr>
        <w:t xml:space="preserve"> określa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C110D5" w:rsidRPr="0003637E">
        <w:rPr>
          <w:rFonts w:eastAsia="Times New Roman" w:cstheme="minorHAnsi"/>
          <w:sz w:val="24"/>
          <w:szCs w:val="24"/>
          <w:lang w:val="pl-PL"/>
        </w:rPr>
        <w:t xml:space="preserve">jakie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dowody pochodzenia </w:t>
      </w:r>
      <w:r w:rsidR="007D2742" w:rsidRPr="0003637E">
        <w:rPr>
          <w:rFonts w:eastAsia="Times New Roman" w:cstheme="minorHAnsi"/>
          <w:sz w:val="24"/>
          <w:szCs w:val="24"/>
          <w:lang w:val="pl-PL"/>
        </w:rPr>
        <w:t xml:space="preserve">dla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produktów pochodzących z Wietnamu </w:t>
      </w:r>
      <w:r w:rsidR="00C110D5" w:rsidRPr="0003637E">
        <w:rPr>
          <w:rFonts w:eastAsia="Times New Roman" w:cstheme="minorHAnsi"/>
          <w:sz w:val="24"/>
          <w:szCs w:val="24"/>
          <w:lang w:val="pl-PL"/>
        </w:rPr>
        <w:t xml:space="preserve">mają zastosowanie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w celu korzystania z </w:t>
      </w:r>
      <w:r w:rsidR="005B2D27" w:rsidRPr="0003637E">
        <w:rPr>
          <w:rFonts w:eastAsia="Times New Roman" w:cstheme="minorHAnsi"/>
          <w:sz w:val="24"/>
          <w:szCs w:val="24"/>
          <w:lang w:val="pl-PL"/>
        </w:rPr>
        <w:t>tej U</w:t>
      </w:r>
      <w:r w:rsidR="00C110D5" w:rsidRPr="0003637E">
        <w:rPr>
          <w:rFonts w:eastAsia="Times New Roman" w:cstheme="minorHAnsi"/>
          <w:sz w:val="24"/>
          <w:szCs w:val="24"/>
          <w:lang w:val="pl-PL"/>
        </w:rPr>
        <w:t>mowy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przy </w:t>
      </w:r>
      <w:r w:rsidR="004B58BE" w:rsidRPr="0003637E">
        <w:rPr>
          <w:rFonts w:eastAsia="Times New Roman" w:cstheme="minorHAnsi"/>
          <w:sz w:val="24"/>
          <w:szCs w:val="24"/>
          <w:lang w:val="pl-PL"/>
        </w:rPr>
        <w:t xml:space="preserve">ich </w:t>
      </w:r>
      <w:r w:rsidRPr="0003637E">
        <w:rPr>
          <w:rFonts w:eastAsia="Times New Roman" w:cstheme="minorHAnsi"/>
          <w:sz w:val="24"/>
          <w:szCs w:val="24"/>
          <w:lang w:val="pl-PL"/>
        </w:rPr>
        <w:t>przywozie do UE.</w:t>
      </w:r>
      <w:r w:rsidR="005B2D27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Ponieważ Wietnam </w:t>
      </w:r>
      <w:r w:rsidR="00A5078D" w:rsidRPr="0003637E">
        <w:rPr>
          <w:rFonts w:eastAsia="Times New Roman" w:cstheme="minorHAnsi"/>
          <w:sz w:val="24"/>
          <w:szCs w:val="24"/>
          <w:lang w:val="pl-PL"/>
        </w:rPr>
        <w:t xml:space="preserve">nie przyjął jeszcze niezbędnych do tego przepisów krajowych </w:t>
      </w:r>
      <w:r w:rsidRPr="0003637E">
        <w:rPr>
          <w:rFonts w:eastAsia="Times New Roman" w:cstheme="minorHAnsi"/>
          <w:sz w:val="24"/>
          <w:szCs w:val="24"/>
          <w:lang w:val="pl-PL"/>
        </w:rPr>
        <w:t>sto</w:t>
      </w:r>
      <w:r w:rsidR="0060196F" w:rsidRPr="0003637E">
        <w:rPr>
          <w:rFonts w:eastAsia="Times New Roman" w:cstheme="minorHAnsi"/>
          <w:sz w:val="24"/>
          <w:szCs w:val="24"/>
          <w:lang w:val="pl-PL"/>
        </w:rPr>
        <w:t>so</w:t>
      </w:r>
      <w:r w:rsidR="009C4717" w:rsidRPr="0003637E">
        <w:rPr>
          <w:rFonts w:eastAsia="Times New Roman" w:cstheme="minorHAnsi"/>
          <w:sz w:val="24"/>
          <w:szCs w:val="24"/>
          <w:lang w:val="pl-PL"/>
        </w:rPr>
        <w:t>wani</w:t>
      </w:r>
      <w:r w:rsidR="00A5078D" w:rsidRPr="0003637E">
        <w:rPr>
          <w:rFonts w:eastAsia="Times New Roman" w:cstheme="minorHAnsi"/>
          <w:sz w:val="24"/>
          <w:szCs w:val="24"/>
          <w:lang w:val="pl-PL"/>
        </w:rPr>
        <w:t>e</w:t>
      </w:r>
      <w:r w:rsidR="005B2D27" w:rsidRPr="0003637E">
        <w:rPr>
          <w:rFonts w:eastAsia="Times New Roman" w:cstheme="minorHAnsi"/>
          <w:sz w:val="24"/>
          <w:szCs w:val="24"/>
          <w:lang w:val="pl-PL"/>
        </w:rPr>
        <w:t xml:space="preserve"> art. 15 ust.</w:t>
      </w:r>
      <w:r w:rsidR="009E1AC6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9C4717" w:rsidRPr="0003637E">
        <w:rPr>
          <w:rFonts w:eastAsia="Times New Roman" w:cstheme="minorHAnsi"/>
          <w:sz w:val="24"/>
          <w:szCs w:val="24"/>
          <w:lang w:val="pl-PL"/>
        </w:rPr>
        <w:t xml:space="preserve">2 lit. </w:t>
      </w:r>
      <w:r w:rsidR="004B58BE" w:rsidRPr="0003637E">
        <w:rPr>
          <w:rFonts w:eastAsia="Times New Roman" w:cstheme="minorHAnsi"/>
          <w:sz w:val="24"/>
          <w:szCs w:val="24"/>
          <w:lang w:val="pl-PL"/>
        </w:rPr>
        <w:t>(</w:t>
      </w:r>
      <w:r w:rsidR="009C4717" w:rsidRPr="0003637E">
        <w:rPr>
          <w:rFonts w:eastAsia="Times New Roman" w:cstheme="minorHAnsi"/>
          <w:sz w:val="24"/>
          <w:szCs w:val="24"/>
          <w:lang w:val="pl-PL"/>
        </w:rPr>
        <w:t>c)</w:t>
      </w:r>
      <w:r w:rsidR="00A5078D" w:rsidRPr="0003637E">
        <w:rPr>
          <w:rFonts w:eastAsia="Times New Roman" w:cstheme="minorHAnsi"/>
          <w:sz w:val="24"/>
          <w:szCs w:val="24"/>
          <w:lang w:val="pl-PL"/>
        </w:rPr>
        <w:t xml:space="preserve"> nie </w:t>
      </w:r>
      <w:r w:rsidR="007D2742" w:rsidRPr="0003637E">
        <w:rPr>
          <w:rFonts w:eastAsia="Times New Roman" w:cstheme="minorHAnsi"/>
          <w:sz w:val="24"/>
          <w:szCs w:val="24"/>
          <w:lang w:val="pl-PL"/>
        </w:rPr>
        <w:t>może być tam wdrożone</w:t>
      </w:r>
      <w:r w:rsidR="00A5078D" w:rsidRPr="0003637E">
        <w:rPr>
          <w:rFonts w:eastAsia="Times New Roman" w:cstheme="minorHAnsi"/>
          <w:sz w:val="24"/>
          <w:szCs w:val="24"/>
          <w:lang w:val="pl-PL"/>
        </w:rPr>
        <w:t>.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5078D" w:rsidRPr="0003637E">
        <w:rPr>
          <w:rFonts w:eastAsia="Times New Roman" w:cstheme="minorHAnsi"/>
          <w:sz w:val="24"/>
          <w:szCs w:val="24"/>
          <w:lang w:val="pl-PL"/>
        </w:rPr>
        <w:t>Tym samym wykorzystanie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 xml:space="preserve"> systemu zarejestrowanych eksporterów</w:t>
      </w:r>
      <w:r w:rsidR="009C4717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5078D" w:rsidRPr="0003637E">
        <w:rPr>
          <w:rFonts w:eastAsia="Times New Roman" w:cstheme="minorHAnsi"/>
          <w:sz w:val="24"/>
          <w:szCs w:val="24"/>
          <w:lang w:val="pl-PL"/>
        </w:rPr>
        <w:t>REX w kontekście umowy EVFTA nie jest możliwe.</w:t>
      </w:r>
      <w:r w:rsidR="009C4717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7D2742" w:rsidRPr="0003637E">
        <w:rPr>
          <w:rFonts w:eastAsia="Times New Roman" w:cstheme="minorHAnsi"/>
          <w:sz w:val="24"/>
          <w:szCs w:val="24"/>
          <w:lang w:val="pl-PL"/>
        </w:rPr>
        <w:t xml:space="preserve">Niezbędne regulacje wewnętrzne nie zostały </w:t>
      </w:r>
      <w:r w:rsidR="00097A46" w:rsidRPr="0003637E">
        <w:rPr>
          <w:rFonts w:eastAsia="Times New Roman" w:cstheme="minorHAnsi"/>
          <w:sz w:val="24"/>
          <w:szCs w:val="24"/>
          <w:lang w:val="pl-PL"/>
        </w:rPr>
        <w:t>w </w:t>
      </w:r>
      <w:r w:rsidR="007D2742" w:rsidRPr="0003637E">
        <w:rPr>
          <w:rFonts w:eastAsia="Times New Roman" w:cstheme="minorHAnsi"/>
          <w:sz w:val="24"/>
          <w:szCs w:val="24"/>
          <w:lang w:val="pl-PL"/>
        </w:rPr>
        <w:t>Wietnamie jeszcze przyjęte także w odniesieniu do przewidzianego w umowie statusu upoważnionego eksportera.</w:t>
      </w:r>
    </w:p>
    <w:p w14:paraId="031BB303" w14:textId="14173B11" w:rsidR="00C103F0" w:rsidRPr="0003637E" w:rsidRDefault="0060196F" w:rsidP="0003637E">
      <w:pPr>
        <w:spacing w:after="120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W związku z tym, </w:t>
      </w:r>
      <w:r w:rsidR="007D2742" w:rsidRPr="0003637E">
        <w:rPr>
          <w:rFonts w:eastAsia="Times New Roman" w:cstheme="minorHAnsi"/>
          <w:sz w:val="24"/>
          <w:szCs w:val="24"/>
          <w:lang w:val="pl-PL"/>
        </w:rPr>
        <w:t>od dni</w:t>
      </w:r>
      <w:r w:rsidR="00315B1D" w:rsidRPr="0003637E">
        <w:rPr>
          <w:rFonts w:eastAsia="Times New Roman" w:cstheme="minorHAnsi"/>
          <w:sz w:val="24"/>
          <w:szCs w:val="24"/>
          <w:lang w:val="pl-PL"/>
        </w:rPr>
        <w:t>a</w:t>
      </w:r>
      <w:r w:rsidR="007D2742" w:rsidRPr="0003637E">
        <w:rPr>
          <w:rFonts w:eastAsia="Times New Roman" w:cstheme="minorHAnsi"/>
          <w:sz w:val="24"/>
          <w:szCs w:val="24"/>
          <w:lang w:val="pl-PL"/>
        </w:rPr>
        <w:t xml:space="preserve"> wejścia w życie umowy</w:t>
      </w:r>
      <w:r w:rsidR="00315B1D" w:rsidRPr="0003637E">
        <w:rPr>
          <w:rFonts w:eastAsia="Times New Roman" w:cstheme="minorHAnsi"/>
          <w:sz w:val="24"/>
          <w:szCs w:val="24"/>
          <w:lang w:val="pl-PL"/>
        </w:rPr>
        <w:t>,</w:t>
      </w:r>
      <w:r w:rsidR="007D2742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dow</w:t>
      </w:r>
      <w:r w:rsidRPr="0003637E">
        <w:rPr>
          <w:rFonts w:eastAsia="Times New Roman" w:cstheme="minorHAnsi"/>
          <w:sz w:val="24"/>
          <w:szCs w:val="24"/>
          <w:lang w:val="pl-PL"/>
        </w:rPr>
        <w:t>o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d</w:t>
      </w:r>
      <w:r w:rsidRPr="0003637E">
        <w:rPr>
          <w:rFonts w:eastAsia="Times New Roman" w:cstheme="minorHAnsi"/>
          <w:sz w:val="24"/>
          <w:szCs w:val="24"/>
          <w:lang w:val="pl-PL"/>
        </w:rPr>
        <w:t>em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pochodzenia mający</w:t>
      </w:r>
      <w:r w:rsidRPr="0003637E">
        <w:rPr>
          <w:rFonts w:eastAsia="Times New Roman" w:cstheme="minorHAnsi"/>
          <w:sz w:val="24"/>
          <w:szCs w:val="24"/>
          <w:lang w:val="pl-PL"/>
        </w:rPr>
        <w:t>m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zastosowanie do towarów pochodzących z Wietnamu jest</w:t>
      </w:r>
      <w:r w:rsidRPr="0003637E">
        <w:rPr>
          <w:rFonts w:eastAsia="Times New Roman" w:cstheme="minorHAnsi"/>
          <w:sz w:val="24"/>
          <w:szCs w:val="24"/>
          <w:lang w:val="pl-PL"/>
        </w:rPr>
        <w:t>:</w:t>
      </w:r>
    </w:p>
    <w:p w14:paraId="58AF22C6" w14:textId="3C42D5B4" w:rsidR="00C103F0" w:rsidRPr="0003637E" w:rsidRDefault="00C110D5" w:rsidP="0003637E">
      <w:pPr>
        <w:pStyle w:val="Akapitzlist"/>
        <w:numPr>
          <w:ilvl w:val="0"/>
          <w:numId w:val="35"/>
        </w:numPr>
        <w:spacing w:after="0"/>
        <w:rPr>
          <w:rFonts w:eastAsia="Times New Roman" w:cstheme="minorHAnsi"/>
          <w:sz w:val="24"/>
          <w:szCs w:val="24"/>
        </w:rPr>
      </w:pPr>
      <w:proofErr w:type="spellStart"/>
      <w:r w:rsidRPr="0003637E">
        <w:rPr>
          <w:rFonts w:eastAsia="Times New Roman" w:cstheme="minorHAnsi"/>
          <w:sz w:val="24"/>
          <w:szCs w:val="24"/>
        </w:rPr>
        <w:t>ś</w:t>
      </w:r>
      <w:r w:rsidR="00C103F0" w:rsidRPr="0003637E">
        <w:rPr>
          <w:rFonts w:eastAsia="Times New Roman" w:cstheme="minorHAnsi"/>
          <w:sz w:val="24"/>
          <w:szCs w:val="24"/>
        </w:rPr>
        <w:t>wiadectwo</w:t>
      </w:r>
      <w:proofErr w:type="spellEnd"/>
      <w:r w:rsidR="00C103F0" w:rsidRPr="0003637E">
        <w:rPr>
          <w:rFonts w:eastAsia="Times New Roman" w:cstheme="minorHAnsi"/>
          <w:sz w:val="24"/>
          <w:szCs w:val="24"/>
        </w:rPr>
        <w:t xml:space="preserve"> </w:t>
      </w:r>
      <w:r w:rsidR="00271BF8" w:rsidRPr="0003637E">
        <w:rPr>
          <w:rFonts w:eastAsia="Times New Roman" w:cstheme="minorHAnsi"/>
          <w:sz w:val="24"/>
          <w:szCs w:val="24"/>
        </w:rPr>
        <w:t xml:space="preserve"> </w:t>
      </w:r>
      <w:r w:rsidR="00C103F0" w:rsidRPr="0003637E">
        <w:rPr>
          <w:rFonts w:eastAsia="Times New Roman" w:cstheme="minorHAnsi"/>
          <w:sz w:val="24"/>
          <w:szCs w:val="24"/>
        </w:rPr>
        <w:t xml:space="preserve">EUR.1 (art. 15 </w:t>
      </w:r>
      <w:proofErr w:type="spellStart"/>
      <w:r w:rsidR="00C103F0" w:rsidRPr="0003637E">
        <w:rPr>
          <w:rFonts w:eastAsia="Times New Roman" w:cstheme="minorHAnsi"/>
          <w:sz w:val="24"/>
          <w:szCs w:val="24"/>
        </w:rPr>
        <w:t>ust</w:t>
      </w:r>
      <w:proofErr w:type="spellEnd"/>
      <w:r w:rsidR="00C103F0" w:rsidRPr="0003637E">
        <w:rPr>
          <w:rFonts w:eastAsia="Times New Roman" w:cstheme="minorHAnsi"/>
          <w:sz w:val="24"/>
          <w:szCs w:val="24"/>
        </w:rPr>
        <w:t xml:space="preserve">. 2 lit. </w:t>
      </w:r>
      <w:r w:rsidRPr="0003637E">
        <w:rPr>
          <w:rFonts w:eastAsia="Times New Roman" w:cstheme="minorHAnsi"/>
          <w:sz w:val="24"/>
          <w:szCs w:val="24"/>
        </w:rPr>
        <w:t>(</w:t>
      </w:r>
      <w:r w:rsidR="00C103F0" w:rsidRPr="0003637E">
        <w:rPr>
          <w:rFonts w:eastAsia="Times New Roman" w:cstheme="minorHAnsi"/>
          <w:sz w:val="24"/>
          <w:szCs w:val="24"/>
        </w:rPr>
        <w:t>a))</w:t>
      </w:r>
      <w:r w:rsidR="005B2D27" w:rsidRPr="0003637E">
        <w:rPr>
          <w:rFonts w:eastAsia="Times New Roman" w:cstheme="minorHAnsi"/>
          <w:sz w:val="24"/>
          <w:szCs w:val="24"/>
        </w:rPr>
        <w:t>;</w:t>
      </w:r>
    </w:p>
    <w:p w14:paraId="51D5F7F9" w14:textId="719971E8" w:rsidR="00C103F0" w:rsidRPr="0003637E" w:rsidRDefault="00C110D5" w:rsidP="0003637E">
      <w:pPr>
        <w:pStyle w:val="Akapitzlist"/>
        <w:numPr>
          <w:ilvl w:val="0"/>
          <w:numId w:val="35"/>
        </w:num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d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eklaracja pochodzenia sporządzona przez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wietnamskiego </w:t>
      </w:r>
      <w:r w:rsidR="005B2D27" w:rsidRPr="0003637E">
        <w:rPr>
          <w:rFonts w:eastAsia="Times New Roman" w:cstheme="minorHAnsi"/>
          <w:sz w:val="24"/>
          <w:szCs w:val="24"/>
          <w:lang w:val="pl-PL"/>
        </w:rPr>
        <w:t>eksportera w</w:t>
      </w:r>
      <w:r w:rsidR="006E508D" w:rsidRPr="0003637E">
        <w:rPr>
          <w:rFonts w:eastAsia="Times New Roman" w:cstheme="minorHAnsi"/>
          <w:sz w:val="24"/>
          <w:szCs w:val="24"/>
          <w:lang w:val="pl-PL"/>
        </w:rPr>
        <w:t> 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odniesieniu do przesyłek, których całkowita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lastRenderedPageBreak/>
        <w:t xml:space="preserve">wartość określona </w:t>
      </w:r>
      <w:r w:rsidR="0060196F" w:rsidRPr="0003637E">
        <w:rPr>
          <w:rFonts w:eastAsia="Times New Roman" w:cstheme="minorHAnsi"/>
          <w:sz w:val="24"/>
          <w:szCs w:val="24"/>
          <w:lang w:val="pl-PL"/>
        </w:rPr>
        <w:t xml:space="preserve">jest </w:t>
      </w:r>
      <w:r w:rsidR="005B2D27" w:rsidRPr="0003637E">
        <w:rPr>
          <w:rFonts w:eastAsia="Times New Roman" w:cstheme="minorHAnsi"/>
          <w:sz w:val="24"/>
          <w:szCs w:val="24"/>
          <w:lang w:val="pl-PL"/>
        </w:rPr>
        <w:t>w</w:t>
      </w:r>
      <w:r w:rsidR="006E508D" w:rsidRPr="0003637E">
        <w:rPr>
          <w:rFonts w:eastAsia="Times New Roman" w:cstheme="minorHAnsi"/>
          <w:sz w:val="24"/>
          <w:szCs w:val="24"/>
          <w:lang w:val="pl-PL"/>
        </w:rPr>
        <w:t> 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ustawodawstwie krajowym Wietnamu i </w:t>
      </w:r>
      <w:r w:rsidR="000B5181" w:rsidRPr="0003637E">
        <w:rPr>
          <w:rFonts w:eastAsia="Times New Roman" w:cstheme="minorHAnsi"/>
          <w:sz w:val="24"/>
          <w:szCs w:val="24"/>
          <w:lang w:val="pl-PL"/>
        </w:rPr>
        <w:t>które określa ten próg na poziomie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825EF0" w:rsidRPr="0003637E">
        <w:rPr>
          <w:rFonts w:eastAsia="Times New Roman" w:cstheme="minorHAnsi"/>
          <w:sz w:val="24"/>
          <w:szCs w:val="24"/>
          <w:lang w:val="pl-PL"/>
        </w:rPr>
        <w:t xml:space="preserve">nieprzekraczającym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6000 EUR (art. 15 ust. 2 lit. </w:t>
      </w:r>
      <w:r w:rsidR="000B5181" w:rsidRPr="0003637E">
        <w:rPr>
          <w:rFonts w:eastAsia="Times New Roman" w:cstheme="minorHAnsi"/>
          <w:sz w:val="24"/>
          <w:szCs w:val="24"/>
          <w:lang w:val="pl-PL"/>
        </w:rPr>
        <w:t>(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b)).</w:t>
      </w:r>
    </w:p>
    <w:p w14:paraId="21D11932" w14:textId="77777777" w:rsidR="006E508D" w:rsidRPr="0003637E" w:rsidRDefault="006E508D" w:rsidP="0003637E">
      <w:pPr>
        <w:spacing w:after="0"/>
        <w:rPr>
          <w:rFonts w:eastAsia="Times New Roman" w:cstheme="minorHAnsi"/>
          <w:sz w:val="24"/>
          <w:szCs w:val="24"/>
          <w:lang w:val="pl-PL"/>
        </w:rPr>
      </w:pPr>
    </w:p>
    <w:p w14:paraId="703AC287" w14:textId="64BDD400" w:rsidR="00C103F0" w:rsidRPr="0003637E" w:rsidRDefault="00C103F0" w:rsidP="0003637E">
      <w:pPr>
        <w:pStyle w:val="Akapitzlist"/>
        <w:numPr>
          <w:ilvl w:val="0"/>
          <w:numId w:val="34"/>
        </w:numPr>
        <w:ind w:left="567" w:hanging="567"/>
        <w:rPr>
          <w:rFonts w:eastAsia="Times New Roman" w:cstheme="minorHAnsi"/>
          <w:sz w:val="24"/>
          <w:szCs w:val="24"/>
          <w:u w:val="single"/>
          <w:lang w:val="pl-PL"/>
        </w:rPr>
      </w:pP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>Świadectwo EUR.1</w:t>
      </w:r>
    </w:p>
    <w:p w14:paraId="19853B31" w14:textId="2D1BA457" w:rsidR="00C103F0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Organem odpowiedzialnym za wy</w:t>
      </w:r>
      <w:r w:rsidR="00A00134" w:rsidRPr="0003637E">
        <w:rPr>
          <w:rFonts w:eastAsia="Times New Roman" w:cstheme="minorHAnsi"/>
          <w:sz w:val="24"/>
          <w:szCs w:val="24"/>
          <w:lang w:val="pl-PL"/>
        </w:rPr>
        <w:t>stawianie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świadectw EUR.1 w </w:t>
      </w:r>
      <w:r w:rsidR="006E508D" w:rsidRPr="0003637E">
        <w:rPr>
          <w:rFonts w:eastAsia="Times New Roman" w:cstheme="minorHAnsi"/>
          <w:sz w:val="24"/>
          <w:szCs w:val="24"/>
          <w:lang w:val="pl-PL"/>
        </w:rPr>
        <w:t>Wietnamie w 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kontekście EVFTA jest </w:t>
      </w:r>
      <w:r w:rsidR="000B5181" w:rsidRPr="0003637E">
        <w:rPr>
          <w:rFonts w:eastAsia="Times New Roman" w:cstheme="minorHAnsi"/>
          <w:sz w:val="24"/>
          <w:szCs w:val="24"/>
          <w:lang w:val="pl-PL"/>
        </w:rPr>
        <w:t xml:space="preserve">tamtejsze </w:t>
      </w:r>
      <w:r w:rsidRPr="0003637E">
        <w:rPr>
          <w:rFonts w:eastAsia="Times New Roman" w:cstheme="minorHAnsi"/>
          <w:sz w:val="24"/>
          <w:szCs w:val="24"/>
          <w:lang w:val="pl-PL"/>
        </w:rPr>
        <w:t>Ministerstwo Przemysłu i Handlu (</w:t>
      </w:r>
      <w:proofErr w:type="spellStart"/>
      <w:r w:rsidRPr="0003637E">
        <w:rPr>
          <w:rFonts w:eastAsia="Times New Roman" w:cstheme="minorHAnsi"/>
          <w:sz w:val="24"/>
          <w:szCs w:val="24"/>
          <w:lang w:val="pl-PL"/>
        </w:rPr>
        <w:t>MoIT</w:t>
      </w:r>
      <w:proofErr w:type="spellEnd"/>
      <w:r w:rsidRPr="0003637E">
        <w:rPr>
          <w:rFonts w:eastAsia="Times New Roman" w:cstheme="minorHAnsi"/>
          <w:sz w:val="24"/>
          <w:szCs w:val="24"/>
          <w:lang w:val="pl-PL"/>
        </w:rPr>
        <w:t>).</w:t>
      </w:r>
      <w:r w:rsidR="00A00134" w:rsidRPr="0003637E">
        <w:rPr>
          <w:rFonts w:eastAsia="Times New Roman" w:cstheme="minorHAnsi"/>
          <w:sz w:val="24"/>
          <w:szCs w:val="24"/>
          <w:lang w:val="pl-PL"/>
        </w:rPr>
        <w:t xml:space="preserve"> W</w:t>
      </w:r>
      <w:r w:rsidR="006E508D" w:rsidRPr="0003637E">
        <w:rPr>
          <w:rFonts w:eastAsia="Times New Roman" w:cstheme="minorHAnsi"/>
          <w:sz w:val="24"/>
          <w:szCs w:val="24"/>
          <w:lang w:val="pl-PL"/>
        </w:rPr>
        <w:t> 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kontekście GSP świadectwa pochodzenia na formularzu A </w:t>
      </w:r>
      <w:r w:rsidR="00313135" w:rsidRPr="0003637E">
        <w:rPr>
          <w:rFonts w:eastAsia="Times New Roman" w:cstheme="minorHAnsi"/>
          <w:sz w:val="24"/>
          <w:szCs w:val="24"/>
          <w:lang w:val="pl-PL"/>
        </w:rPr>
        <w:t xml:space="preserve">(świadectwo Form A) </w:t>
      </w:r>
      <w:r w:rsidR="00A00134" w:rsidRPr="0003637E">
        <w:rPr>
          <w:rFonts w:eastAsia="Times New Roman" w:cstheme="minorHAnsi"/>
          <w:sz w:val="24"/>
          <w:szCs w:val="24"/>
          <w:lang w:val="pl-PL"/>
        </w:rPr>
        <w:t>były wystawiane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przez VCCI </w:t>
      </w:r>
      <w:r w:rsidR="00A00134" w:rsidRPr="0003637E">
        <w:rPr>
          <w:rFonts w:eastAsia="Times New Roman" w:cstheme="minorHAnsi"/>
          <w:sz w:val="24"/>
          <w:szCs w:val="24"/>
          <w:lang w:val="pl-PL"/>
        </w:rPr>
        <w:t>(Wietnamską Izbę Przemysłu i Handlu).</w:t>
      </w:r>
    </w:p>
    <w:p w14:paraId="607F16B1" w14:textId="7E5EB238" w:rsidR="00D72505" w:rsidRPr="0003637E" w:rsidRDefault="00313135" w:rsidP="0003637E">
      <w:pPr>
        <w:rPr>
          <w:rFonts w:eastAsia="Calibri" w:cstheme="minorHAnsi"/>
          <w:color w:val="00000A"/>
          <w:sz w:val="24"/>
          <w:szCs w:val="24"/>
          <w:lang w:val="fr-FR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G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dy świadectwo </w:t>
      </w:r>
      <w:r w:rsidRPr="0003637E">
        <w:rPr>
          <w:rFonts w:eastAsia="Times New Roman" w:cstheme="minorHAnsi"/>
          <w:sz w:val="24"/>
          <w:szCs w:val="24"/>
          <w:lang w:val="pl-PL"/>
        </w:rPr>
        <w:t>Form A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zostało już </w:t>
      </w:r>
      <w:r w:rsidR="0096594F" w:rsidRPr="0003637E">
        <w:rPr>
          <w:rFonts w:eastAsia="Times New Roman" w:cstheme="minorHAnsi"/>
          <w:sz w:val="24"/>
          <w:szCs w:val="24"/>
          <w:lang w:val="pl-PL"/>
        </w:rPr>
        <w:t xml:space="preserve">wcześniej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wy</w:t>
      </w:r>
      <w:r w:rsidR="000B5181" w:rsidRPr="0003637E">
        <w:rPr>
          <w:rFonts w:eastAsia="Times New Roman" w:cstheme="minorHAnsi"/>
          <w:sz w:val="24"/>
          <w:szCs w:val="24"/>
          <w:lang w:val="pl-PL"/>
        </w:rPr>
        <w:t>stawione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, ale towary </w:t>
      </w:r>
      <w:r w:rsidRPr="0003637E">
        <w:rPr>
          <w:rFonts w:eastAsia="Times New Roman" w:cstheme="minorHAnsi"/>
          <w:sz w:val="24"/>
          <w:szCs w:val="24"/>
          <w:lang w:val="pl-PL"/>
        </w:rPr>
        <w:t>są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ostatecznie przyw</w:t>
      </w:r>
      <w:r w:rsidRPr="0003637E">
        <w:rPr>
          <w:rFonts w:eastAsia="Times New Roman" w:cstheme="minorHAnsi"/>
          <w:sz w:val="24"/>
          <w:szCs w:val="24"/>
          <w:lang w:val="pl-PL"/>
        </w:rPr>
        <w:t>ożone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do UE po wejściu w życie umowy o wolnym handlu, eksporterzy </w:t>
      </w:r>
      <w:r w:rsidR="007769F6" w:rsidRPr="0003637E">
        <w:rPr>
          <w:rFonts w:eastAsia="Times New Roman" w:cstheme="minorHAnsi"/>
          <w:sz w:val="24"/>
          <w:szCs w:val="24"/>
          <w:lang w:val="pl-PL"/>
        </w:rPr>
        <w:t>mogą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097A46" w:rsidRPr="0003637E">
        <w:rPr>
          <w:rFonts w:eastAsia="Times New Roman" w:cstheme="minorHAnsi"/>
          <w:sz w:val="24"/>
          <w:szCs w:val="24"/>
          <w:lang w:val="pl-PL"/>
        </w:rPr>
        <w:t xml:space="preserve">w takim przypadku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ubiegać się </w:t>
      </w:r>
      <w:r w:rsidR="008951A5" w:rsidRPr="0003637E">
        <w:rPr>
          <w:rFonts w:eastAsia="Times New Roman" w:cstheme="minorHAnsi"/>
          <w:sz w:val="24"/>
          <w:szCs w:val="24"/>
          <w:lang w:val="pl-PL"/>
        </w:rPr>
        <w:t xml:space="preserve">także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o </w:t>
      </w:r>
      <w:r w:rsidR="00A00134" w:rsidRPr="0003637E">
        <w:rPr>
          <w:rFonts w:eastAsia="Times New Roman" w:cstheme="minorHAnsi"/>
          <w:sz w:val="24"/>
          <w:szCs w:val="24"/>
          <w:lang w:val="pl-PL"/>
        </w:rPr>
        <w:t xml:space="preserve">wystawienie </w:t>
      </w:r>
      <w:r w:rsidR="00963149" w:rsidRPr="0003637E">
        <w:rPr>
          <w:rFonts w:eastAsia="Times New Roman" w:cstheme="minorHAnsi"/>
          <w:sz w:val="24"/>
          <w:szCs w:val="24"/>
          <w:lang w:val="pl-PL"/>
        </w:rPr>
        <w:t xml:space="preserve">dla nich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EUR</w:t>
      </w:r>
      <w:r w:rsidR="00A00134" w:rsidRPr="0003637E">
        <w:rPr>
          <w:rFonts w:eastAsia="Times New Roman" w:cstheme="minorHAnsi"/>
          <w:sz w:val="24"/>
          <w:szCs w:val="24"/>
          <w:lang w:val="pl-PL"/>
        </w:rPr>
        <w:t xml:space="preserve"> 1 w trybie retrospektywnym.</w:t>
      </w:r>
      <w:r w:rsidR="00D72505" w:rsidRPr="0003637E">
        <w:rPr>
          <w:rFonts w:eastAsia="Calibri" w:cstheme="minorHAnsi"/>
          <w:color w:val="00000A"/>
          <w:sz w:val="24"/>
          <w:szCs w:val="24"/>
          <w:lang w:val="fr-FR"/>
        </w:rPr>
        <w:t xml:space="preserve"> </w:t>
      </w:r>
    </w:p>
    <w:p w14:paraId="07171932" w14:textId="11E80ED9" w:rsidR="00D72505" w:rsidRPr="0003637E" w:rsidRDefault="00B627B7" w:rsidP="0003637E">
      <w:pPr>
        <w:rPr>
          <w:rFonts w:eastAsia="Times New Roman" w:cstheme="minorHAnsi"/>
          <w:sz w:val="24"/>
          <w:szCs w:val="24"/>
          <w:lang w:val="fr-FR"/>
        </w:rPr>
      </w:pPr>
      <w:r w:rsidRPr="0003637E">
        <w:rPr>
          <w:rFonts w:eastAsia="Times New Roman" w:cstheme="minorHAnsi"/>
          <w:sz w:val="24"/>
          <w:szCs w:val="24"/>
          <w:lang w:val="fr-FR"/>
        </w:rPr>
        <w:t>Wietnamski e</w:t>
      </w:r>
      <w:r w:rsidR="00D72505" w:rsidRPr="0003637E">
        <w:rPr>
          <w:rFonts w:eastAsia="Times New Roman" w:cstheme="minorHAnsi"/>
          <w:sz w:val="24"/>
          <w:szCs w:val="24"/>
          <w:lang w:val="fr-FR"/>
        </w:rPr>
        <w:t xml:space="preserve">ksporter może ubiegać się o świadectwo EUR.1 nawet w przypadku, gdy świadectwo </w:t>
      </w:r>
      <w:r w:rsidR="00963149" w:rsidRPr="0003637E">
        <w:rPr>
          <w:rFonts w:eastAsia="Times New Roman" w:cstheme="minorHAnsi"/>
          <w:sz w:val="24"/>
          <w:szCs w:val="24"/>
          <w:lang w:val="fr-FR"/>
        </w:rPr>
        <w:t>Form A</w:t>
      </w:r>
      <w:r w:rsidR="00D72505" w:rsidRPr="0003637E">
        <w:rPr>
          <w:rFonts w:eastAsia="Times New Roman" w:cstheme="minorHAnsi"/>
          <w:sz w:val="24"/>
          <w:szCs w:val="24"/>
          <w:lang w:val="fr-FR"/>
        </w:rPr>
        <w:t xml:space="preserve"> zostało wystawione w momencie wywozu i nawet jeżeli to świadectwo </w:t>
      </w:r>
      <w:r w:rsidR="00D72505" w:rsidRPr="0003637E">
        <w:rPr>
          <w:rFonts w:eastAsia="Times New Roman" w:cstheme="minorHAnsi"/>
          <w:sz w:val="24"/>
          <w:szCs w:val="24"/>
          <w:lang w:val="fr-FR"/>
        </w:rPr>
        <w:lastRenderedPageBreak/>
        <w:t xml:space="preserve">było już (nawet </w:t>
      </w:r>
      <w:r w:rsidR="00097A46" w:rsidRPr="0003637E">
        <w:rPr>
          <w:rFonts w:eastAsia="Times New Roman" w:cstheme="minorHAnsi"/>
          <w:sz w:val="24"/>
          <w:szCs w:val="24"/>
          <w:lang w:val="fr-FR"/>
        </w:rPr>
        <w:t xml:space="preserve">tylko </w:t>
      </w:r>
      <w:r w:rsidR="00D72505" w:rsidRPr="0003637E">
        <w:rPr>
          <w:rFonts w:eastAsia="Times New Roman" w:cstheme="minorHAnsi"/>
          <w:sz w:val="24"/>
          <w:szCs w:val="24"/>
          <w:lang w:val="fr-FR"/>
        </w:rPr>
        <w:t xml:space="preserve">częściowo) wykorzystane </w:t>
      </w:r>
      <w:r w:rsidR="00963149" w:rsidRPr="0003637E">
        <w:rPr>
          <w:rFonts w:eastAsia="Times New Roman" w:cstheme="minorHAnsi"/>
          <w:sz w:val="24"/>
          <w:szCs w:val="24"/>
          <w:lang w:val="fr-FR"/>
        </w:rPr>
        <w:t>przy</w:t>
      </w:r>
      <w:r w:rsidR="00D72505" w:rsidRPr="0003637E">
        <w:rPr>
          <w:rFonts w:eastAsia="Times New Roman" w:cstheme="minorHAnsi"/>
          <w:sz w:val="24"/>
          <w:szCs w:val="24"/>
          <w:lang w:val="fr-FR"/>
        </w:rPr>
        <w:t xml:space="preserve"> przywoz</w:t>
      </w:r>
      <w:r w:rsidR="00963149" w:rsidRPr="0003637E">
        <w:rPr>
          <w:rFonts w:eastAsia="Times New Roman" w:cstheme="minorHAnsi"/>
          <w:sz w:val="24"/>
          <w:szCs w:val="24"/>
          <w:lang w:val="fr-FR"/>
        </w:rPr>
        <w:t>ie</w:t>
      </w:r>
      <w:r w:rsidR="00D72505" w:rsidRPr="0003637E">
        <w:rPr>
          <w:rFonts w:eastAsia="Times New Roman" w:cstheme="minorHAnsi"/>
          <w:sz w:val="24"/>
          <w:szCs w:val="24"/>
          <w:lang w:val="fr-FR"/>
        </w:rPr>
        <w:t xml:space="preserve"> danych towarów </w:t>
      </w:r>
      <w:r w:rsidR="00963149" w:rsidRPr="0003637E">
        <w:rPr>
          <w:rFonts w:eastAsia="Times New Roman" w:cstheme="minorHAnsi"/>
          <w:sz w:val="24"/>
          <w:szCs w:val="24"/>
          <w:lang w:val="fr-FR"/>
        </w:rPr>
        <w:t>do</w:t>
      </w:r>
      <w:r w:rsidR="00D72505" w:rsidRPr="0003637E">
        <w:rPr>
          <w:rFonts w:eastAsia="Times New Roman" w:cstheme="minorHAnsi"/>
          <w:sz w:val="24"/>
          <w:szCs w:val="24"/>
          <w:lang w:val="fr-FR"/>
        </w:rPr>
        <w:t xml:space="preserve"> UE.</w:t>
      </w:r>
    </w:p>
    <w:p w14:paraId="3C25FA93" w14:textId="6A8B857C" w:rsidR="00D72505" w:rsidRPr="0003637E" w:rsidRDefault="00D72505" w:rsidP="0003637E">
      <w:pPr>
        <w:rPr>
          <w:rFonts w:eastAsia="Times New Roman" w:cstheme="minorHAnsi"/>
          <w:sz w:val="24"/>
          <w:szCs w:val="24"/>
          <w:lang w:val="fr-FR"/>
        </w:rPr>
      </w:pPr>
      <w:r w:rsidRPr="0003637E">
        <w:rPr>
          <w:rFonts w:eastAsia="Times New Roman" w:cstheme="minorHAnsi"/>
          <w:sz w:val="24"/>
          <w:szCs w:val="24"/>
          <w:lang w:val="fr-FR"/>
        </w:rPr>
        <w:t>W UE importer może wnioskować o zwrot/umorzenie</w:t>
      </w:r>
      <w:r w:rsidR="00640502" w:rsidRPr="0003637E">
        <w:rPr>
          <w:rFonts w:eastAsia="Times New Roman" w:cstheme="minorHAnsi"/>
          <w:sz w:val="24"/>
          <w:szCs w:val="24"/>
          <w:lang w:val="fr-FR"/>
        </w:rPr>
        <w:t xml:space="preserve"> należności celnych</w:t>
      </w:r>
      <w:r w:rsidR="00B627B7" w:rsidRPr="0003637E">
        <w:rPr>
          <w:rFonts w:eastAsia="Times New Roman" w:cstheme="minorHAnsi"/>
          <w:sz w:val="24"/>
          <w:szCs w:val="24"/>
          <w:lang w:val="fr-FR"/>
        </w:rPr>
        <w:t>,</w:t>
      </w:r>
      <w:r w:rsidR="00640502" w:rsidRPr="0003637E">
        <w:rPr>
          <w:rFonts w:eastAsia="Times New Roman" w:cstheme="minorHAnsi"/>
          <w:sz w:val="24"/>
          <w:szCs w:val="24"/>
          <w:lang w:val="fr-FR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fr-FR"/>
        </w:rPr>
        <w:t>na podstawie art. 117 unijne</w:t>
      </w:r>
      <w:r w:rsidR="00640502" w:rsidRPr="0003637E">
        <w:rPr>
          <w:rFonts w:eastAsia="Times New Roman" w:cstheme="minorHAnsi"/>
          <w:sz w:val="24"/>
          <w:szCs w:val="24"/>
          <w:lang w:val="fr-FR"/>
        </w:rPr>
        <w:t xml:space="preserve">go kodeksu celnego, pod warunkiem przedłożenia </w:t>
      </w:r>
      <w:r w:rsidRPr="0003637E">
        <w:rPr>
          <w:rFonts w:eastAsia="Times New Roman" w:cstheme="minorHAnsi"/>
          <w:sz w:val="24"/>
          <w:szCs w:val="24"/>
          <w:lang w:val="fr-FR"/>
        </w:rPr>
        <w:t xml:space="preserve"> dowodów na to, że towary kwalifikują się do preferencyjne</w:t>
      </w:r>
      <w:r w:rsidR="00097A46" w:rsidRPr="0003637E">
        <w:rPr>
          <w:rFonts w:eastAsia="Times New Roman" w:cstheme="minorHAnsi"/>
          <w:sz w:val="24"/>
          <w:szCs w:val="24"/>
          <w:lang w:val="fr-FR"/>
        </w:rPr>
        <w:t>go traktowania w ramach umowy o </w:t>
      </w:r>
      <w:r w:rsidRPr="0003637E">
        <w:rPr>
          <w:rFonts w:eastAsia="Times New Roman" w:cstheme="minorHAnsi"/>
          <w:sz w:val="24"/>
          <w:szCs w:val="24"/>
          <w:lang w:val="fr-FR"/>
        </w:rPr>
        <w:t>wolnym handlu</w:t>
      </w:r>
      <w:r w:rsidR="00B627B7" w:rsidRPr="0003637E">
        <w:rPr>
          <w:rFonts w:eastAsia="Times New Roman" w:cstheme="minorHAnsi"/>
          <w:sz w:val="24"/>
          <w:szCs w:val="24"/>
          <w:lang w:val="fr-FR"/>
        </w:rPr>
        <w:t>,</w:t>
      </w:r>
      <w:r w:rsidRPr="0003637E">
        <w:rPr>
          <w:rFonts w:eastAsia="Times New Roman" w:cstheme="minorHAnsi"/>
          <w:sz w:val="24"/>
          <w:szCs w:val="24"/>
          <w:lang w:val="fr-FR"/>
        </w:rPr>
        <w:t xml:space="preserve"> </w:t>
      </w:r>
      <w:r w:rsidR="00503222">
        <w:rPr>
          <w:rFonts w:eastAsia="Times New Roman" w:cstheme="minorHAnsi"/>
          <w:sz w:val="24"/>
          <w:szCs w:val="24"/>
          <w:lang w:val="fr-FR"/>
        </w:rPr>
        <w:t>także w </w:t>
      </w:r>
      <w:r w:rsidR="00B627B7" w:rsidRPr="0003637E">
        <w:rPr>
          <w:rFonts w:eastAsia="Times New Roman" w:cstheme="minorHAnsi"/>
          <w:sz w:val="24"/>
          <w:szCs w:val="24"/>
          <w:lang w:val="fr-FR"/>
        </w:rPr>
        <w:t>przypadku</w:t>
      </w:r>
      <w:r w:rsidR="00097A46" w:rsidRPr="0003637E">
        <w:rPr>
          <w:rFonts w:eastAsia="Times New Roman" w:cstheme="minorHAnsi"/>
          <w:sz w:val="24"/>
          <w:szCs w:val="24"/>
          <w:lang w:val="fr-FR"/>
        </w:rPr>
        <w:t>,</w:t>
      </w:r>
      <w:r w:rsidR="00B627B7" w:rsidRPr="0003637E">
        <w:rPr>
          <w:rFonts w:eastAsia="Times New Roman" w:cstheme="minorHAnsi"/>
          <w:sz w:val="24"/>
          <w:szCs w:val="24"/>
          <w:lang w:val="fr-FR"/>
        </w:rPr>
        <w:t xml:space="preserve"> gdy</w:t>
      </w:r>
      <w:r w:rsidRPr="0003637E">
        <w:rPr>
          <w:rFonts w:eastAsia="Times New Roman" w:cstheme="minorHAnsi"/>
          <w:sz w:val="24"/>
          <w:szCs w:val="24"/>
          <w:lang w:val="fr-FR"/>
        </w:rPr>
        <w:t xml:space="preserve"> w </w:t>
      </w:r>
      <w:r w:rsidR="00B627B7" w:rsidRPr="0003637E">
        <w:rPr>
          <w:rFonts w:eastAsia="Times New Roman" w:cstheme="minorHAnsi"/>
          <w:sz w:val="24"/>
          <w:szCs w:val="24"/>
          <w:lang w:val="fr-FR"/>
        </w:rPr>
        <w:t>zgłoszeniu celnym</w:t>
      </w:r>
      <w:r w:rsidRPr="0003637E">
        <w:rPr>
          <w:rFonts w:eastAsia="Times New Roman" w:cstheme="minorHAnsi"/>
          <w:sz w:val="24"/>
          <w:szCs w:val="24"/>
          <w:lang w:val="fr-FR"/>
        </w:rPr>
        <w:t xml:space="preserve"> zastosowano inne preferencyjne traktowanie (GSP)</w:t>
      </w:r>
      <w:r w:rsidR="00640502" w:rsidRPr="0003637E">
        <w:rPr>
          <w:rFonts w:eastAsia="Times New Roman" w:cstheme="minorHAnsi"/>
          <w:sz w:val="24"/>
          <w:szCs w:val="24"/>
          <w:lang w:val="fr-FR"/>
        </w:rPr>
        <w:t>.</w:t>
      </w:r>
    </w:p>
    <w:p w14:paraId="7AD3D696" w14:textId="0605DDFB" w:rsidR="000D2531" w:rsidRPr="0003637E" w:rsidRDefault="000D2531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W początkowym okresie stosowania EVFTA stwierdzono liczne przypadki wystawiania przez administrację Wietnamu świadectw EUR.1 na formularzach niespełniających wymogów określonych w załączniku VII do Protokołu 1. Wzór gilosza (tła) na tych świadectwach jest niezgodny ze specyfikacją techniczną określoną dla nich w ww. załączniku VII, a mianowicie tło jest niebieskie, a powinno być zielone. W związku </w:t>
      </w:r>
      <w:r w:rsidR="00775425" w:rsidRPr="0003637E">
        <w:rPr>
          <w:rFonts w:eastAsia="Times New Roman" w:cstheme="minorHAnsi"/>
          <w:sz w:val="24"/>
          <w:szCs w:val="24"/>
          <w:lang w:val="pl-PL"/>
        </w:rPr>
        <w:t>z 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tym świadectwa takie nie powinny być </w:t>
      </w:r>
      <w:r w:rsidR="00272E83" w:rsidRPr="0003637E">
        <w:rPr>
          <w:rFonts w:eastAsia="Times New Roman" w:cstheme="minorHAnsi"/>
          <w:sz w:val="24"/>
          <w:szCs w:val="24"/>
          <w:lang w:val="pl-PL"/>
        </w:rPr>
        <w:t>za</w:t>
      </w:r>
      <w:r w:rsidRPr="0003637E">
        <w:rPr>
          <w:rFonts w:eastAsia="Times New Roman" w:cstheme="minorHAnsi"/>
          <w:sz w:val="24"/>
          <w:szCs w:val="24"/>
          <w:lang w:val="pl-PL"/>
        </w:rPr>
        <w:t>akceptowane z przyczyn technicznych jako dowód potwierdzający preferencyjne pochodzenia towarów z Wietnamu w ramach zawartej umowy o wolnym handlu.</w:t>
      </w:r>
      <w:r w:rsidR="00272E83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272E83" w:rsidRPr="0003637E">
        <w:rPr>
          <w:rFonts w:eastAsia="Times New Roman" w:cstheme="minorHAnsi"/>
          <w:sz w:val="24"/>
          <w:szCs w:val="24"/>
          <w:lang w:val="pl-PL"/>
        </w:rPr>
        <w:lastRenderedPageBreak/>
        <w:t xml:space="preserve">Jednakże za zgodą Komisji Europejskiej do czasu wyczerpania </w:t>
      </w:r>
      <w:r w:rsidR="00503222">
        <w:rPr>
          <w:rFonts w:eastAsia="Times New Roman" w:cstheme="minorHAnsi"/>
          <w:sz w:val="24"/>
          <w:szCs w:val="24"/>
          <w:lang w:val="pl-PL"/>
        </w:rPr>
        <w:t>się nakładu już wydrukowanych w </w:t>
      </w:r>
      <w:r w:rsidR="00272E83" w:rsidRPr="0003637E">
        <w:rPr>
          <w:rFonts w:eastAsia="Times New Roman" w:cstheme="minorHAnsi"/>
          <w:sz w:val="24"/>
          <w:szCs w:val="24"/>
          <w:lang w:val="pl-PL"/>
        </w:rPr>
        <w:t xml:space="preserve">Wietnamie 100 000 formularzy świadectw EUR.1 (niebieski gilosz, numery seryjne od AA000001 do AA100000), takie świadectwa mogą być akceptowane w okresie przejściowym, ale nie dłużej niż </w:t>
      </w:r>
      <w:r w:rsidR="00775425" w:rsidRPr="0003637E">
        <w:rPr>
          <w:rFonts w:eastAsia="Times New Roman" w:cstheme="minorHAnsi"/>
          <w:sz w:val="24"/>
          <w:szCs w:val="24"/>
          <w:lang w:val="pl-PL"/>
        </w:rPr>
        <w:t>do 31 </w:t>
      </w:r>
      <w:r w:rsidR="00272E83" w:rsidRPr="0003637E">
        <w:rPr>
          <w:rFonts w:eastAsia="Times New Roman" w:cstheme="minorHAnsi"/>
          <w:sz w:val="24"/>
          <w:szCs w:val="24"/>
          <w:lang w:val="pl-PL"/>
        </w:rPr>
        <w:t>grudnia 2020 r. Po tym dniu wietnamskie świadectwa EUR.1 niespełniające wymogów technicznych nie będą już akceptowane z przyczyn technicznych.</w:t>
      </w:r>
    </w:p>
    <w:p w14:paraId="2BDC248A" w14:textId="77777777" w:rsidR="000D2531" w:rsidRPr="0003637E" w:rsidRDefault="000D2531" w:rsidP="0003637E">
      <w:pPr>
        <w:rPr>
          <w:rFonts w:eastAsia="Times New Roman" w:cstheme="minorHAnsi"/>
          <w:sz w:val="24"/>
          <w:szCs w:val="24"/>
          <w:lang w:val="pl-PL"/>
        </w:rPr>
      </w:pPr>
    </w:p>
    <w:p w14:paraId="0D4514E2" w14:textId="44C7EE4F" w:rsidR="00C103F0" w:rsidRPr="0003637E" w:rsidRDefault="00C103F0" w:rsidP="0003637E">
      <w:pPr>
        <w:pStyle w:val="Akapitzlist"/>
        <w:numPr>
          <w:ilvl w:val="0"/>
          <w:numId w:val="34"/>
        </w:numPr>
        <w:ind w:left="567" w:hanging="567"/>
        <w:rPr>
          <w:rFonts w:eastAsia="Times New Roman" w:cstheme="minorHAnsi"/>
          <w:sz w:val="24"/>
          <w:szCs w:val="24"/>
          <w:u w:val="single"/>
          <w:lang w:val="pl-PL"/>
        </w:rPr>
      </w:pP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>Deklaracja pochodzenia</w:t>
      </w:r>
    </w:p>
    <w:p w14:paraId="4DA1D81E" w14:textId="50C13082" w:rsidR="00C103F0" w:rsidRPr="0003637E" w:rsidRDefault="0096594F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Jak to zostało już wcześniej wspomniane, Z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ałącznik VI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do 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>P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rotokołu </w:t>
      </w:r>
      <w:r w:rsidR="00A00134" w:rsidRPr="0003637E">
        <w:rPr>
          <w:rFonts w:eastAsia="Times New Roman" w:cstheme="minorHAnsi"/>
          <w:sz w:val="24"/>
          <w:szCs w:val="24"/>
          <w:lang w:val="pl-PL"/>
        </w:rPr>
        <w:t>1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zawiera 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 xml:space="preserve">wzorcowy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tekst deklaracji pochodzenia.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Deklaracj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>a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D74743" w:rsidRPr="0003637E">
        <w:rPr>
          <w:rFonts w:eastAsia="Times New Roman" w:cstheme="minorHAnsi"/>
          <w:sz w:val="24"/>
          <w:szCs w:val="24"/>
          <w:lang w:val="pl-PL"/>
        </w:rPr>
        <w:t>może być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 sporządzana przez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wietnams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kich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eksport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erów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zgodnie z art. 15 ust. 2 lit. 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>(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b)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Protokołu 1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, tj.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przez każdego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eksport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era</w:t>
      </w:r>
      <w:r w:rsidR="009B44CD" w:rsidRPr="0003637E">
        <w:rPr>
          <w:rFonts w:eastAsia="Times New Roman" w:cstheme="minorHAnsi"/>
          <w:sz w:val="24"/>
          <w:szCs w:val="24"/>
          <w:lang w:val="pl-PL"/>
        </w:rPr>
        <w:t>, ale tylko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w odniesieniu do przesyłki, której wartość nie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przekracza 6000 EUR.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W 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>takim przypadku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eksporterzy wietnamscy nie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wskaz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>ują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 w deklaracji pochodzenia numeru upoważnie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lastRenderedPageBreak/>
        <w:t>nia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 xml:space="preserve"> (miejsce przewidziane na jego wskazanie pozostaje niewypełnione lub wyrazy w nawiasie będą pominięte)</w:t>
      </w:r>
      <w:r w:rsidR="00AA1159" w:rsidRPr="0003637E">
        <w:rPr>
          <w:rFonts w:eastAsia="Times New Roman" w:cstheme="minorHAnsi"/>
          <w:sz w:val="24"/>
          <w:szCs w:val="24"/>
          <w:lang w:val="pl-PL"/>
        </w:rPr>
        <w:t>.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A1159" w:rsidRPr="0003637E">
        <w:rPr>
          <w:rFonts w:eastAsia="Times New Roman" w:cstheme="minorHAnsi"/>
          <w:sz w:val="24"/>
          <w:szCs w:val="24"/>
          <w:lang w:val="pl-PL"/>
        </w:rPr>
        <w:t xml:space="preserve">Ponieważ </w:t>
      </w:r>
      <w:r w:rsidR="00551FE8" w:rsidRPr="0003637E">
        <w:rPr>
          <w:rFonts w:eastAsia="Times New Roman" w:cstheme="minorHAnsi"/>
          <w:sz w:val="24"/>
          <w:szCs w:val="24"/>
          <w:lang w:val="pl-PL"/>
        </w:rPr>
        <w:t>strona wietnamska nie wdrożyła jeszcze systemu upoważnionych eksporterów</w:t>
      </w:r>
      <w:r w:rsidR="00AA1159" w:rsidRPr="0003637E">
        <w:rPr>
          <w:rFonts w:eastAsia="Times New Roman" w:cstheme="minorHAnsi"/>
          <w:sz w:val="24"/>
          <w:szCs w:val="24"/>
          <w:lang w:val="pl-PL"/>
        </w:rPr>
        <w:t>,</w:t>
      </w:r>
      <w:r w:rsidR="009B44CD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AA1159" w:rsidRPr="0003637E">
        <w:rPr>
          <w:rFonts w:eastAsia="Times New Roman" w:cstheme="minorHAnsi"/>
          <w:sz w:val="24"/>
          <w:szCs w:val="24"/>
          <w:lang w:val="pl-PL"/>
        </w:rPr>
        <w:t xml:space="preserve">tym </w:t>
      </w:r>
      <w:r w:rsidR="009B44CD" w:rsidRPr="0003637E">
        <w:rPr>
          <w:rFonts w:eastAsia="Times New Roman" w:cstheme="minorHAnsi"/>
          <w:sz w:val="24"/>
          <w:szCs w:val="24"/>
          <w:lang w:val="pl-PL"/>
        </w:rPr>
        <w:t>samym w Wietnamie nie ma obecnie „upoważnionych eksporterów”</w:t>
      </w:r>
      <w:r w:rsidR="00503222">
        <w:rPr>
          <w:rFonts w:eastAsia="Times New Roman" w:cstheme="minorHAnsi"/>
          <w:sz w:val="24"/>
          <w:szCs w:val="24"/>
          <w:lang w:val="pl-PL"/>
        </w:rPr>
        <w:t xml:space="preserve"> i w </w:t>
      </w:r>
      <w:r w:rsidR="00982DDD" w:rsidRPr="0003637E">
        <w:rPr>
          <w:rFonts w:eastAsia="Times New Roman" w:cstheme="minorHAnsi"/>
          <w:sz w:val="24"/>
          <w:szCs w:val="24"/>
          <w:lang w:val="pl-PL"/>
        </w:rPr>
        <w:t>konsekwencji tamtejsi eksporterzy nie mogą sporządzać deklaracji pochodzenia dla przesyłek o wartości przekraczającej 6000 EUR i dla nich muszą uzyskać świadectwo EUR.1</w:t>
      </w:r>
      <w:r w:rsidR="009B44CD" w:rsidRPr="0003637E">
        <w:rPr>
          <w:rFonts w:eastAsia="Times New Roman" w:cstheme="minorHAnsi"/>
          <w:sz w:val="24"/>
          <w:szCs w:val="24"/>
          <w:lang w:val="pl-PL"/>
        </w:rPr>
        <w:t>.</w:t>
      </w:r>
    </w:p>
    <w:p w14:paraId="2C1EC0C0" w14:textId="3F2746FF" w:rsidR="007334A6" w:rsidRPr="0003637E" w:rsidRDefault="009B44CD" w:rsidP="0003637E">
      <w:pPr>
        <w:rPr>
          <w:rFonts w:eastAsia="Times New Roman" w:cstheme="minorHAnsi"/>
          <w:sz w:val="24"/>
          <w:szCs w:val="24"/>
          <w:lang w:val="fr-FR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Podkreślenia wymaga, że z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godnie z art. 19 ust. 4 Protokołu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1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deklaracje pochodzenia sporządzone</w:t>
      </w:r>
      <w:r w:rsidR="007334A6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w Wietnamie muszą być opatrzone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własnoręcznym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podpisem eksportera.</w:t>
      </w:r>
    </w:p>
    <w:p w14:paraId="54ECDF0C" w14:textId="5ABF62B2" w:rsidR="00C103F0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</w:p>
    <w:p w14:paraId="1E35BBA2" w14:textId="1D6B2B52" w:rsidR="00C103F0" w:rsidRPr="0003637E" w:rsidRDefault="00C103F0" w:rsidP="0003637E">
      <w:pPr>
        <w:pStyle w:val="Akapitzlist"/>
        <w:numPr>
          <w:ilvl w:val="0"/>
          <w:numId w:val="34"/>
        </w:numPr>
        <w:ind w:left="567" w:hanging="567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Kody </w:t>
      </w:r>
      <w:r w:rsidR="00982DDD"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dokumentów </w:t>
      </w: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stosowane </w:t>
      </w:r>
      <w:r w:rsidR="00982DDD"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w UE </w:t>
      </w: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w </w:t>
      </w:r>
      <w:r w:rsidR="00982DDD" w:rsidRPr="0003637E">
        <w:rPr>
          <w:rFonts w:eastAsia="Times New Roman" w:cstheme="minorHAnsi"/>
          <w:sz w:val="24"/>
          <w:szCs w:val="24"/>
          <w:u w:val="single"/>
          <w:lang w:val="pl-PL"/>
        </w:rPr>
        <w:t xml:space="preserve">przywozowych </w:t>
      </w: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>zgłoszeni</w:t>
      </w:r>
      <w:r w:rsidR="00982DDD" w:rsidRPr="0003637E">
        <w:rPr>
          <w:rFonts w:eastAsia="Times New Roman" w:cstheme="minorHAnsi"/>
          <w:sz w:val="24"/>
          <w:szCs w:val="24"/>
          <w:u w:val="single"/>
          <w:lang w:val="pl-PL"/>
        </w:rPr>
        <w:t>ach celnych</w:t>
      </w:r>
    </w:p>
    <w:p w14:paraId="0E6BFB63" w14:textId="0F79C9B8" w:rsidR="00C103F0" w:rsidRPr="0003637E" w:rsidRDefault="000A0AA7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W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nioskuj</w:t>
      </w:r>
      <w:r w:rsidRPr="0003637E">
        <w:rPr>
          <w:rFonts w:eastAsia="Times New Roman" w:cstheme="minorHAnsi"/>
          <w:sz w:val="24"/>
          <w:szCs w:val="24"/>
          <w:lang w:val="pl-PL"/>
        </w:rPr>
        <w:t>ąc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 o zastosowanie preferencji wynikających z umowy EVFTA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,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zgłaszający jest zobowiązany do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wskaz</w:t>
      </w:r>
      <w:r w:rsidRPr="0003637E">
        <w:rPr>
          <w:rFonts w:eastAsia="Times New Roman" w:cstheme="minorHAnsi"/>
          <w:sz w:val="24"/>
          <w:szCs w:val="24"/>
          <w:lang w:val="pl-PL"/>
        </w:rPr>
        <w:t>ania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kod</w:t>
      </w:r>
      <w:r w:rsidRPr="0003637E">
        <w:rPr>
          <w:rFonts w:eastAsia="Times New Roman" w:cstheme="minorHAnsi"/>
          <w:sz w:val="24"/>
          <w:szCs w:val="24"/>
          <w:lang w:val="pl-PL"/>
        </w:rPr>
        <w:t>u dokumentu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odpowiadając</w:t>
      </w:r>
      <w:r w:rsidRPr="0003637E">
        <w:rPr>
          <w:rFonts w:eastAsia="Times New Roman" w:cstheme="minorHAnsi"/>
          <w:sz w:val="24"/>
          <w:szCs w:val="24"/>
          <w:lang w:val="pl-PL"/>
        </w:rPr>
        <w:t>ego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dow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o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dowi pochodzenia,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którym się posługuje</w:t>
      </w:r>
      <w:r w:rsidRPr="0003637E">
        <w:rPr>
          <w:rFonts w:eastAsia="Times New Roman" w:cstheme="minorHAnsi"/>
          <w:sz w:val="24"/>
          <w:szCs w:val="24"/>
          <w:lang w:val="pl-PL"/>
        </w:rPr>
        <w:t>:</w:t>
      </w:r>
    </w:p>
    <w:p w14:paraId="5F97CE05" w14:textId="60DB76D5" w:rsidR="00C103F0" w:rsidRPr="0003637E" w:rsidRDefault="000A0AA7" w:rsidP="0003637E">
      <w:pPr>
        <w:pStyle w:val="Akapitzlist"/>
        <w:numPr>
          <w:ilvl w:val="0"/>
          <w:numId w:val="32"/>
        </w:num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lastRenderedPageBreak/>
        <w:t>w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przypadku świadectw</w:t>
      </w:r>
      <w:r w:rsidR="00271BF8" w:rsidRPr="0003637E">
        <w:rPr>
          <w:rFonts w:eastAsia="Times New Roman" w:cstheme="minorHAnsi"/>
          <w:sz w:val="24"/>
          <w:szCs w:val="24"/>
          <w:lang w:val="pl-PL"/>
        </w:rPr>
        <w:t xml:space="preserve">a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EUR.1 </w:t>
      </w:r>
      <w:r w:rsidRPr="0003637E">
        <w:rPr>
          <w:rFonts w:eastAsia="Times New Roman" w:cstheme="minorHAnsi"/>
          <w:sz w:val="24"/>
          <w:szCs w:val="24"/>
          <w:lang w:val="pl-PL"/>
        </w:rPr>
        <w:t>jest to</w:t>
      </w:r>
      <w:r w:rsidR="009C4717" w:rsidRPr="0003637E">
        <w:rPr>
          <w:rFonts w:eastAsia="Times New Roman" w:cstheme="minorHAnsi"/>
          <w:sz w:val="24"/>
          <w:szCs w:val="24"/>
          <w:lang w:val="pl-PL"/>
        </w:rPr>
        <w:t xml:space="preserve"> kod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N954;</w:t>
      </w:r>
    </w:p>
    <w:p w14:paraId="5DC7737A" w14:textId="71257AFB" w:rsidR="00C103F0" w:rsidRPr="0003637E" w:rsidRDefault="000A0AA7" w:rsidP="0003637E">
      <w:pPr>
        <w:pStyle w:val="Akapitzlist"/>
        <w:numPr>
          <w:ilvl w:val="0"/>
          <w:numId w:val="32"/>
        </w:num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w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przypadk</w:t>
      </w:r>
      <w:r w:rsidR="009C4717" w:rsidRPr="0003637E">
        <w:rPr>
          <w:rFonts w:eastAsia="Times New Roman" w:cstheme="minorHAnsi"/>
          <w:sz w:val="24"/>
          <w:szCs w:val="24"/>
          <w:lang w:val="pl-PL"/>
        </w:rPr>
        <w:t xml:space="preserve">u deklaracji pochodzenia </w:t>
      </w:r>
      <w:r w:rsidRPr="0003637E">
        <w:rPr>
          <w:rFonts w:eastAsia="Times New Roman" w:cstheme="minorHAnsi"/>
          <w:sz w:val="24"/>
          <w:szCs w:val="24"/>
          <w:lang w:val="pl-PL"/>
        </w:rPr>
        <w:t>jest to</w:t>
      </w:r>
      <w:r w:rsidR="009C4717" w:rsidRPr="0003637E">
        <w:rPr>
          <w:rFonts w:eastAsia="Times New Roman" w:cstheme="minorHAnsi"/>
          <w:sz w:val="24"/>
          <w:szCs w:val="24"/>
          <w:lang w:val="pl-PL"/>
        </w:rPr>
        <w:t xml:space="preserve"> kod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U162 (deklaracja na fakturze lub deklaracja pochodzenia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sporządzona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przez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każdego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eksportera </w:t>
      </w:r>
      <w:r w:rsidR="00D27B9B" w:rsidRPr="0003637E">
        <w:rPr>
          <w:rFonts w:eastAsia="Times New Roman" w:cstheme="minorHAnsi"/>
          <w:sz w:val="24"/>
          <w:szCs w:val="24"/>
          <w:lang w:val="pl-PL"/>
        </w:rPr>
        <w:t xml:space="preserve">na fakturze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lub </w:t>
      </w:r>
      <w:r w:rsidR="00D27B9B" w:rsidRPr="0003637E">
        <w:rPr>
          <w:rFonts w:eastAsia="Times New Roman" w:cstheme="minorHAnsi"/>
          <w:sz w:val="24"/>
          <w:szCs w:val="24"/>
          <w:lang w:val="pl-PL"/>
        </w:rPr>
        <w:t xml:space="preserve">na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jakikolwiek inny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m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dokume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ncie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handlowy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>m</w:t>
      </w:r>
      <w:r w:rsidR="00D27B9B" w:rsidRPr="0003637E">
        <w:rPr>
          <w:rFonts w:eastAsia="Times New Roman" w:cstheme="minorHAnsi"/>
          <w:sz w:val="24"/>
          <w:szCs w:val="24"/>
          <w:lang w:val="pl-PL"/>
        </w:rPr>
        <w:t>,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dla </w:t>
      </w:r>
      <w:r w:rsidR="00146810" w:rsidRPr="0003637E">
        <w:rPr>
          <w:rFonts w:eastAsia="Times New Roman" w:cstheme="minorHAnsi"/>
          <w:sz w:val="24"/>
          <w:szCs w:val="24"/>
          <w:lang w:val="pl-PL"/>
        </w:rPr>
        <w:t xml:space="preserve">przesyłek o </w:t>
      </w:r>
      <w:r w:rsidR="00D27B9B" w:rsidRPr="0003637E">
        <w:rPr>
          <w:rFonts w:eastAsia="Times New Roman" w:cstheme="minorHAnsi"/>
          <w:sz w:val="24"/>
          <w:szCs w:val="24"/>
          <w:lang w:val="pl-PL"/>
        </w:rPr>
        <w:t xml:space="preserve">całkowitej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wartości produktów pochodzących nieprzekraczającej 6000 EUR).</w:t>
      </w:r>
    </w:p>
    <w:p w14:paraId="27880A57" w14:textId="1E6ED5DA" w:rsidR="00503222" w:rsidRDefault="00503222">
      <w:pPr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br w:type="page"/>
      </w:r>
    </w:p>
    <w:p w14:paraId="0072CE5B" w14:textId="519EFB7E" w:rsidR="000A2D15" w:rsidRPr="0003637E" w:rsidRDefault="003D0461" w:rsidP="0003637E">
      <w:pPr>
        <w:pStyle w:val="Akapitzlist"/>
        <w:numPr>
          <w:ilvl w:val="0"/>
          <w:numId w:val="34"/>
        </w:numPr>
        <w:ind w:left="567" w:hanging="567"/>
        <w:rPr>
          <w:rFonts w:eastAsia="Times New Roman" w:cstheme="minorHAnsi"/>
          <w:sz w:val="24"/>
          <w:szCs w:val="24"/>
          <w:u w:val="single"/>
          <w:lang w:val="pl-PL"/>
        </w:rPr>
      </w:pP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lastRenderedPageBreak/>
        <w:t>Ogólny system preferencji (GSP) i u</w:t>
      </w:r>
      <w:r w:rsidR="00272E83" w:rsidRPr="0003637E">
        <w:rPr>
          <w:rFonts w:eastAsia="Times New Roman" w:cstheme="minorHAnsi"/>
          <w:sz w:val="24"/>
          <w:szCs w:val="24"/>
          <w:u w:val="single"/>
          <w:lang w:val="pl-PL"/>
        </w:rPr>
        <w:t>mowa o wolnym handlu (EVFTA)</w:t>
      </w:r>
    </w:p>
    <w:p w14:paraId="27F2F500" w14:textId="77777777" w:rsidR="000A2D15" w:rsidRPr="0003637E" w:rsidRDefault="000A2D15" w:rsidP="0003637E">
      <w:pPr>
        <w:pStyle w:val="Akapitzlist"/>
        <w:rPr>
          <w:rFonts w:eastAsia="Times New Roman" w:cstheme="minorHAnsi"/>
          <w:sz w:val="24"/>
          <w:szCs w:val="24"/>
          <w:u w:val="single"/>
          <w:lang w:val="pl-PL"/>
        </w:rPr>
      </w:pPr>
    </w:p>
    <w:p w14:paraId="47620E4D" w14:textId="2FDF43AA" w:rsidR="000A2D15" w:rsidRPr="0003637E" w:rsidRDefault="000A2D15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W relacjach handlowych z Wietnamem obowiązują obecnie równolegle dwa reżimy preferencyjne (GSP i FTA</w:t>
      </w:r>
      <w:r w:rsidR="008D74D9" w:rsidRPr="0003637E">
        <w:rPr>
          <w:rFonts w:eastAsia="Times New Roman" w:cstheme="minorHAnsi"/>
          <w:sz w:val="24"/>
          <w:szCs w:val="24"/>
          <w:lang w:val="pl-PL"/>
        </w:rPr>
        <w:t>, odpowiednio kody preferencji 200 i 300</w:t>
      </w:r>
      <w:r w:rsidRPr="0003637E">
        <w:rPr>
          <w:rFonts w:eastAsia="Times New Roman" w:cstheme="minorHAnsi"/>
          <w:sz w:val="24"/>
          <w:szCs w:val="24"/>
          <w:lang w:val="pl-PL"/>
        </w:rPr>
        <w:t>) i w zależności od tego, o jakie preferencje wnioskuje importer wymagane są odpowiednie dowody po</w:t>
      </w:r>
      <w:r w:rsidR="00775425" w:rsidRPr="0003637E">
        <w:rPr>
          <w:rFonts w:eastAsia="Times New Roman" w:cstheme="minorHAnsi"/>
          <w:sz w:val="24"/>
          <w:szCs w:val="24"/>
          <w:lang w:val="pl-PL"/>
        </w:rPr>
        <w:t>chodzenia przywożonych towarów.</w:t>
      </w:r>
    </w:p>
    <w:p w14:paraId="727A2F9E" w14:textId="349D443C" w:rsidR="000A2D15" w:rsidRPr="0003637E" w:rsidRDefault="003D0461" w:rsidP="0003637E">
      <w:pPr>
        <w:pStyle w:val="Akapitzlist"/>
        <w:rPr>
          <w:rFonts w:eastAsia="Times New Roman" w:cstheme="minorHAnsi"/>
          <w:b/>
          <w:sz w:val="24"/>
          <w:szCs w:val="24"/>
          <w:lang w:val="pl-PL"/>
        </w:rPr>
      </w:pPr>
      <w:r w:rsidRPr="0003637E">
        <w:rPr>
          <w:rFonts w:eastAsia="Times New Roman" w:cstheme="minorHAnsi"/>
          <w:b/>
          <w:sz w:val="24"/>
          <w:szCs w:val="24"/>
          <w:lang w:val="pl-PL"/>
        </w:rPr>
        <w:t>GSP ≠ FTA</w:t>
      </w:r>
    </w:p>
    <w:p w14:paraId="5481C0AD" w14:textId="66BA4D41" w:rsidR="000A2D15" w:rsidRPr="0003637E" w:rsidRDefault="003D0461" w:rsidP="0003637E">
      <w:pPr>
        <w:rPr>
          <w:rFonts w:eastAsia="Times New Roman" w:cstheme="minorHAnsi"/>
          <w:i/>
          <w:sz w:val="24"/>
          <w:szCs w:val="24"/>
          <w:lang w:val="pl-PL"/>
        </w:rPr>
      </w:pPr>
      <w:r w:rsidRPr="0003637E">
        <w:rPr>
          <w:rFonts w:eastAsia="Times New Roman" w:cstheme="minorHAnsi"/>
          <w:i/>
          <w:sz w:val="24"/>
          <w:szCs w:val="24"/>
          <w:lang w:val="pl-PL"/>
        </w:rPr>
        <w:t>Ogólny</w:t>
      </w:r>
      <w:r w:rsidR="000A2D15" w:rsidRPr="0003637E">
        <w:rPr>
          <w:rFonts w:eastAsia="Times New Roman" w:cstheme="minorHAnsi"/>
          <w:i/>
          <w:sz w:val="24"/>
          <w:szCs w:val="24"/>
          <w:lang w:val="pl-PL"/>
        </w:rPr>
        <w:t xml:space="preserve"> System Preferencji</w:t>
      </w:r>
    </w:p>
    <w:p w14:paraId="75886129" w14:textId="1FB28240" w:rsidR="000A2D15" w:rsidRPr="0003637E" w:rsidRDefault="000A2D15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Jeżeli wywóz z Wietnamu odbywa się w ramach systemu GSP, przy ustalaniu pochodzenia towarów stosuje się reguły pochodzenia obowiązujące w ramach GSP, w tym przepisy dotyczące dowodów pochodzenia. Jest to </w:t>
      </w:r>
      <w:r w:rsidR="003D0461" w:rsidRPr="0003637E">
        <w:rPr>
          <w:rFonts w:eastAsia="Times New Roman" w:cstheme="minorHAnsi"/>
          <w:sz w:val="24"/>
          <w:szCs w:val="24"/>
          <w:lang w:val="pl-PL"/>
        </w:rPr>
        <w:t xml:space="preserve">w tym systemie </w:t>
      </w:r>
      <w:r w:rsidRPr="0003637E">
        <w:rPr>
          <w:rFonts w:eastAsia="Times New Roman" w:cstheme="minorHAnsi"/>
          <w:sz w:val="24"/>
          <w:szCs w:val="24"/>
          <w:lang w:val="pl-PL"/>
        </w:rPr>
        <w:t>oświadczenie o pochodzeniu sporządz</w:t>
      </w:r>
      <w:r w:rsidR="003D0461" w:rsidRPr="0003637E">
        <w:rPr>
          <w:rFonts w:eastAsia="Times New Roman" w:cstheme="minorHAnsi"/>
          <w:sz w:val="24"/>
          <w:szCs w:val="24"/>
          <w:lang w:val="pl-PL"/>
        </w:rPr>
        <w:t>a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ne przez wietnamskiego </w:t>
      </w: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>zarejestrowanego eksportera REX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. Ponieważ jednak okres przejściowy dla pełnego wdrożenia przez Wietnam systemu REX został przedłużony do dnia 31 grudnia 2020 r., to do momentu zakończenia </w:t>
      </w:r>
      <w:r w:rsidRPr="0003637E">
        <w:rPr>
          <w:rFonts w:eastAsia="Times New Roman" w:cstheme="minorHAnsi"/>
          <w:sz w:val="24"/>
          <w:szCs w:val="24"/>
          <w:lang w:val="pl-PL"/>
        </w:rPr>
        <w:lastRenderedPageBreak/>
        <w:t>okresu przejściowego (czyli do końca 2020 r.) może być tam wystawione również świadectwo Form A.</w:t>
      </w:r>
    </w:p>
    <w:p w14:paraId="0C045AC2" w14:textId="0C47ADBF" w:rsidR="000A2D15" w:rsidRPr="0003637E" w:rsidRDefault="000A2D15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Wietnam będzie objęty </w:t>
      </w:r>
      <w:r w:rsidR="008D74D9" w:rsidRPr="0003637E">
        <w:rPr>
          <w:rFonts w:eastAsia="Times New Roman" w:cstheme="minorHAnsi"/>
          <w:sz w:val="24"/>
          <w:szCs w:val="24"/>
          <w:lang w:val="pl-PL"/>
        </w:rPr>
        <w:t xml:space="preserve">systemem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GSP do 31.12.2022 r. </w:t>
      </w:r>
      <w:r w:rsidR="005C0C33" w:rsidRPr="0003637E">
        <w:rPr>
          <w:rFonts w:eastAsia="Times New Roman" w:cstheme="minorHAnsi"/>
          <w:sz w:val="24"/>
          <w:szCs w:val="24"/>
          <w:lang w:val="pl-PL"/>
        </w:rPr>
        <w:t xml:space="preserve">Z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dniem 1.1.2023 </w:t>
      </w:r>
      <w:r w:rsidR="00775425" w:rsidRPr="0003637E">
        <w:rPr>
          <w:rFonts w:eastAsia="Times New Roman" w:cstheme="minorHAnsi"/>
          <w:sz w:val="24"/>
          <w:szCs w:val="24"/>
          <w:lang w:val="pl-PL"/>
        </w:rPr>
        <w:t xml:space="preserve">r. </w:t>
      </w:r>
      <w:r w:rsidR="008D74D9" w:rsidRPr="0003637E">
        <w:rPr>
          <w:rFonts w:eastAsia="Times New Roman" w:cstheme="minorHAnsi"/>
          <w:sz w:val="24"/>
          <w:szCs w:val="24"/>
          <w:lang w:val="pl-PL"/>
        </w:rPr>
        <w:t xml:space="preserve">kraj ten </w:t>
      </w:r>
      <w:r w:rsidRPr="0003637E">
        <w:rPr>
          <w:rFonts w:eastAsia="Times New Roman" w:cstheme="minorHAnsi"/>
          <w:sz w:val="24"/>
          <w:szCs w:val="24"/>
          <w:lang w:val="pl-PL"/>
        </w:rPr>
        <w:t>zostanie wykreślony z listy krajów beneficjentów GSP i zastosowanie będzie miała tylko umowa FTA.</w:t>
      </w:r>
    </w:p>
    <w:p w14:paraId="22B18833" w14:textId="7A58892D" w:rsidR="000A2D15" w:rsidRPr="0003637E" w:rsidRDefault="000A2D15" w:rsidP="0003637E">
      <w:pPr>
        <w:rPr>
          <w:rFonts w:eastAsia="Times New Roman" w:cstheme="minorHAnsi"/>
          <w:i/>
          <w:sz w:val="24"/>
          <w:szCs w:val="24"/>
          <w:lang w:val="pl-PL"/>
        </w:rPr>
      </w:pPr>
      <w:r w:rsidRPr="0003637E">
        <w:rPr>
          <w:rFonts w:eastAsia="Times New Roman" w:cstheme="minorHAnsi"/>
          <w:i/>
          <w:sz w:val="24"/>
          <w:szCs w:val="24"/>
          <w:lang w:val="pl-PL"/>
        </w:rPr>
        <w:t>FTA (</w:t>
      </w:r>
      <w:r w:rsidR="008D74D9" w:rsidRPr="0003637E">
        <w:rPr>
          <w:rFonts w:eastAsia="Times New Roman" w:cstheme="minorHAnsi"/>
          <w:i/>
          <w:sz w:val="24"/>
          <w:szCs w:val="24"/>
          <w:lang w:val="pl-PL"/>
        </w:rPr>
        <w:t>u</w:t>
      </w:r>
      <w:r w:rsidRPr="0003637E">
        <w:rPr>
          <w:rFonts w:eastAsia="Times New Roman" w:cstheme="minorHAnsi"/>
          <w:i/>
          <w:sz w:val="24"/>
          <w:szCs w:val="24"/>
          <w:lang w:val="pl-PL"/>
        </w:rPr>
        <w:t>mowa o wolnym handlu).</w:t>
      </w:r>
    </w:p>
    <w:p w14:paraId="214A9AFE" w14:textId="36A4BDAD" w:rsidR="003F7390" w:rsidRPr="0003637E" w:rsidRDefault="000A2D15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Jeżeli wywóz z Wietnamu odbywa się w ramach umowy o wolnym handlu (FTA) stosuje się </w:t>
      </w:r>
      <w:r w:rsidR="00775425" w:rsidRPr="0003637E">
        <w:rPr>
          <w:rFonts w:eastAsia="Times New Roman" w:cstheme="minorHAnsi"/>
          <w:sz w:val="24"/>
          <w:szCs w:val="24"/>
          <w:lang w:val="pl-PL"/>
        </w:rPr>
        <w:t xml:space="preserve">wówczas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reguły pochodzenia zawarte w tej umowie, w tym przepisy dotyczące dowodów pochodzenia. Jest to świadectwo EUR.1 lub </w:t>
      </w:r>
      <w:r w:rsidR="00271BF8" w:rsidRPr="0003637E">
        <w:rPr>
          <w:rFonts w:eastAsia="Times New Roman" w:cstheme="minorHAnsi"/>
          <w:sz w:val="24"/>
          <w:szCs w:val="24"/>
          <w:lang w:val="pl-PL"/>
        </w:rPr>
        <w:t>deklaracja pochodzenia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, </w:t>
      </w:r>
      <w:r w:rsidR="003D0461" w:rsidRPr="0003637E">
        <w:rPr>
          <w:rFonts w:eastAsia="Times New Roman" w:cstheme="minorHAnsi"/>
          <w:sz w:val="24"/>
          <w:szCs w:val="24"/>
          <w:lang w:val="pl-PL"/>
        </w:rPr>
        <w:t xml:space="preserve">ale tylko </w:t>
      </w:r>
      <w:r w:rsidRPr="0003637E">
        <w:rPr>
          <w:rFonts w:eastAsia="Times New Roman" w:cstheme="minorHAnsi"/>
          <w:sz w:val="24"/>
          <w:szCs w:val="24"/>
          <w:lang w:val="pl-PL"/>
        </w:rPr>
        <w:t>w przypadku przesyłek zawierających produkty pochodzące, których wartość nie przekracza 6000 EUR.</w:t>
      </w:r>
    </w:p>
    <w:p w14:paraId="78675E16" w14:textId="0EC38932" w:rsidR="000A2D15" w:rsidRPr="0003637E" w:rsidRDefault="008D74D9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Jak wspomniano wcześniej, w kontekście EVFTA </w:t>
      </w:r>
      <w:r w:rsidR="000A2D15" w:rsidRPr="0003637E">
        <w:rPr>
          <w:rFonts w:eastAsia="Times New Roman" w:cstheme="minorHAnsi"/>
          <w:sz w:val="24"/>
          <w:szCs w:val="24"/>
          <w:lang w:val="pl-PL"/>
        </w:rPr>
        <w:t xml:space="preserve">Wietnam nie </w:t>
      </w:r>
      <w:r w:rsidRPr="0003637E">
        <w:rPr>
          <w:rFonts w:eastAsia="Times New Roman" w:cstheme="minorHAnsi"/>
          <w:sz w:val="24"/>
          <w:szCs w:val="24"/>
          <w:lang w:val="pl-PL"/>
        </w:rPr>
        <w:t>przyjął dotychczas krajowych przepisów dotyczących zarejestrowanych eksporterów (REX)</w:t>
      </w:r>
      <w:r w:rsidR="00775425" w:rsidRPr="0003637E">
        <w:rPr>
          <w:rFonts w:eastAsia="Times New Roman" w:cstheme="minorHAnsi"/>
          <w:sz w:val="24"/>
          <w:szCs w:val="24"/>
          <w:lang w:val="pl-PL"/>
        </w:rPr>
        <w:t>, jak i 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upoważnionych eksporterów. </w:t>
      </w:r>
      <w:r w:rsidR="005C0C33" w:rsidRPr="0003637E">
        <w:rPr>
          <w:rFonts w:eastAsia="Times New Roman" w:cstheme="minorHAnsi"/>
          <w:sz w:val="24"/>
          <w:szCs w:val="24"/>
          <w:lang w:val="pl-PL"/>
        </w:rPr>
        <w:t>Przyjęte przepisy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będą mogły być stosowane </w:t>
      </w:r>
      <w:r w:rsidR="003F7390" w:rsidRPr="0003637E">
        <w:rPr>
          <w:rFonts w:eastAsia="Times New Roman" w:cstheme="minorHAnsi"/>
          <w:sz w:val="24"/>
          <w:szCs w:val="24"/>
          <w:lang w:val="pl-PL"/>
        </w:rPr>
        <w:t xml:space="preserve">dopiero </w:t>
      </w:r>
      <w:r w:rsidRPr="0003637E">
        <w:rPr>
          <w:rFonts w:eastAsia="Times New Roman" w:cstheme="minorHAnsi"/>
          <w:sz w:val="24"/>
          <w:szCs w:val="24"/>
          <w:lang w:val="pl-PL"/>
        </w:rPr>
        <w:t>po notyfikowaniu tego faktu Komisji Europejskiej</w:t>
      </w:r>
      <w:r w:rsidR="003F7390" w:rsidRPr="0003637E">
        <w:rPr>
          <w:rFonts w:eastAsia="Times New Roman" w:cstheme="minorHAnsi"/>
          <w:sz w:val="24"/>
          <w:szCs w:val="24"/>
          <w:lang w:val="pl-PL"/>
        </w:rPr>
        <w:t>, która poinformuje o tym państwa członkowskie</w:t>
      </w:r>
      <w:r w:rsidRPr="0003637E">
        <w:rPr>
          <w:rFonts w:eastAsia="Times New Roman" w:cstheme="minorHAnsi"/>
          <w:sz w:val="24"/>
          <w:szCs w:val="24"/>
          <w:lang w:val="pl-PL"/>
        </w:rPr>
        <w:t>.</w:t>
      </w:r>
    </w:p>
    <w:p w14:paraId="54BA5239" w14:textId="6F1BFC44" w:rsidR="000A2D15" w:rsidRPr="0003637E" w:rsidRDefault="000A2D15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lastRenderedPageBreak/>
        <w:t xml:space="preserve">W UE importer nie może ubiegać się o preferencyjne traktowanie wynikające z GSP, przedkładając dowód pochodzenia przewidziany w umowie o wolnym handlu (FTA). </w:t>
      </w:r>
      <w:r w:rsidR="005C0C33" w:rsidRPr="0003637E">
        <w:rPr>
          <w:rFonts w:eastAsia="Times New Roman" w:cstheme="minorHAnsi"/>
          <w:sz w:val="24"/>
          <w:szCs w:val="24"/>
          <w:lang w:val="pl-PL"/>
        </w:rPr>
        <w:t>Analogicznie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importer nie może ubiegać się o korzyści wynikające z FTA przy użyciu dowodu pochodzenia przewidzianego przez </w:t>
      </w:r>
      <w:r w:rsidR="003F7390" w:rsidRPr="0003637E">
        <w:rPr>
          <w:rFonts w:eastAsia="Times New Roman" w:cstheme="minorHAnsi"/>
          <w:sz w:val="24"/>
          <w:szCs w:val="24"/>
          <w:lang w:val="pl-PL"/>
        </w:rPr>
        <w:t xml:space="preserve">system </w:t>
      </w:r>
      <w:r w:rsidRPr="0003637E">
        <w:rPr>
          <w:rFonts w:eastAsia="Times New Roman" w:cstheme="minorHAnsi"/>
          <w:sz w:val="24"/>
          <w:szCs w:val="24"/>
          <w:lang w:val="pl-PL"/>
        </w:rPr>
        <w:t>GSP.</w:t>
      </w:r>
    </w:p>
    <w:p w14:paraId="46FE00F6" w14:textId="4947AD99" w:rsidR="000A2D15" w:rsidRPr="0003637E" w:rsidRDefault="000A2D15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Wybór systemu preferencyjnego</w:t>
      </w:r>
      <w:r w:rsidR="003D0461" w:rsidRPr="0003637E">
        <w:rPr>
          <w:rFonts w:eastAsia="Times New Roman" w:cstheme="minorHAnsi"/>
          <w:sz w:val="24"/>
          <w:szCs w:val="24"/>
          <w:lang w:val="pl-PL"/>
        </w:rPr>
        <w:t>,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w ramach któreg</w:t>
      </w:r>
      <w:r w:rsidR="00277650" w:rsidRPr="0003637E">
        <w:rPr>
          <w:rFonts w:eastAsia="Times New Roman" w:cstheme="minorHAnsi"/>
          <w:sz w:val="24"/>
          <w:szCs w:val="24"/>
          <w:lang w:val="pl-PL"/>
        </w:rPr>
        <w:t>o importer będzie ubiegał się o 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preferencyjne traktowanie przywiezionych </w:t>
      </w:r>
      <w:r w:rsidR="00E64729" w:rsidRPr="0003637E">
        <w:rPr>
          <w:rFonts w:eastAsia="Times New Roman" w:cstheme="minorHAnsi"/>
          <w:sz w:val="24"/>
          <w:szCs w:val="24"/>
          <w:lang w:val="pl-PL"/>
        </w:rPr>
        <w:t xml:space="preserve">z Wietnamu </w:t>
      </w:r>
      <w:r w:rsidRPr="0003637E">
        <w:rPr>
          <w:rFonts w:eastAsia="Times New Roman" w:cstheme="minorHAnsi"/>
          <w:sz w:val="24"/>
          <w:szCs w:val="24"/>
          <w:lang w:val="pl-PL"/>
        </w:rPr>
        <w:t>towarów</w:t>
      </w:r>
      <w:r w:rsidR="003D0461" w:rsidRPr="0003637E">
        <w:rPr>
          <w:rFonts w:eastAsia="Times New Roman" w:cstheme="minorHAnsi"/>
          <w:sz w:val="24"/>
          <w:szCs w:val="24"/>
          <w:lang w:val="pl-PL"/>
        </w:rPr>
        <w:t>,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zależny </w:t>
      </w:r>
      <w:r w:rsidR="008B3F89" w:rsidRPr="0003637E">
        <w:rPr>
          <w:rFonts w:eastAsia="Times New Roman" w:cstheme="minorHAnsi"/>
          <w:sz w:val="24"/>
          <w:szCs w:val="24"/>
          <w:lang w:val="pl-PL"/>
        </w:rPr>
        <w:t xml:space="preserve">jest </w:t>
      </w:r>
      <w:r w:rsidRPr="0003637E">
        <w:rPr>
          <w:rFonts w:eastAsia="Times New Roman" w:cstheme="minorHAnsi"/>
          <w:sz w:val="24"/>
          <w:szCs w:val="24"/>
          <w:lang w:val="pl-PL"/>
        </w:rPr>
        <w:t>więc od decyzji importera, jak i posiadanego przez niego rodzaju dowodu pochodzenia.</w:t>
      </w:r>
    </w:p>
    <w:p w14:paraId="4D42B001" w14:textId="2887A9EF" w:rsidR="00C103F0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</w:p>
    <w:p w14:paraId="1266F60D" w14:textId="0952D286" w:rsidR="00C103F0" w:rsidRPr="0003637E" w:rsidRDefault="00D27B9B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b/>
          <w:sz w:val="24"/>
          <w:szCs w:val="24"/>
          <w:lang w:val="pl-PL"/>
        </w:rPr>
        <w:t>III.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C103F0" w:rsidRPr="0003637E">
        <w:rPr>
          <w:rFonts w:eastAsia="Times New Roman" w:cstheme="minorHAnsi"/>
          <w:b/>
          <w:sz w:val="24"/>
          <w:szCs w:val="24"/>
          <w:lang w:val="pl-PL"/>
        </w:rPr>
        <w:t>Kumulacja</w:t>
      </w:r>
      <w:r w:rsidR="000A0AA7" w:rsidRPr="0003637E">
        <w:rPr>
          <w:rFonts w:eastAsia="Times New Roman" w:cstheme="minorHAnsi"/>
          <w:b/>
          <w:sz w:val="24"/>
          <w:szCs w:val="24"/>
          <w:lang w:val="pl-PL"/>
        </w:rPr>
        <w:t xml:space="preserve"> pochodzenia</w:t>
      </w:r>
    </w:p>
    <w:p w14:paraId="07D3DA14" w14:textId="25BA4B72" w:rsidR="00C1622A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Kumulacja </w:t>
      </w:r>
      <w:r w:rsidR="000A0AA7" w:rsidRPr="0003637E">
        <w:rPr>
          <w:rFonts w:eastAsia="Times New Roman" w:cstheme="minorHAnsi"/>
          <w:sz w:val="24"/>
          <w:szCs w:val="24"/>
          <w:lang w:val="pl-PL"/>
        </w:rPr>
        <w:t xml:space="preserve">pochodzenia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jest ułatwieniem </w:t>
      </w:r>
      <w:r w:rsidR="000A0AA7" w:rsidRPr="0003637E">
        <w:rPr>
          <w:rFonts w:eastAsia="Times New Roman" w:cstheme="minorHAnsi"/>
          <w:sz w:val="24"/>
          <w:szCs w:val="24"/>
          <w:lang w:val="pl-PL"/>
        </w:rPr>
        <w:t xml:space="preserve">zwykle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przewidzianym </w:t>
      </w:r>
      <w:r w:rsidR="000A0AA7" w:rsidRPr="0003637E">
        <w:rPr>
          <w:rFonts w:eastAsia="Times New Roman" w:cstheme="minorHAnsi"/>
          <w:sz w:val="24"/>
          <w:szCs w:val="24"/>
          <w:lang w:val="pl-PL"/>
        </w:rPr>
        <w:t xml:space="preserve">przy określaniu </w:t>
      </w:r>
      <w:r w:rsidRPr="0003637E">
        <w:rPr>
          <w:rFonts w:eastAsia="Times New Roman" w:cstheme="minorHAnsi"/>
          <w:sz w:val="24"/>
          <w:szCs w:val="24"/>
          <w:lang w:val="pl-PL"/>
        </w:rPr>
        <w:t>preferencyjnego pochodzenia</w:t>
      </w:r>
      <w:r w:rsidR="000A0AA7" w:rsidRPr="0003637E">
        <w:rPr>
          <w:rFonts w:eastAsia="Times New Roman" w:cstheme="minorHAnsi"/>
          <w:sz w:val="24"/>
          <w:szCs w:val="24"/>
          <w:lang w:val="pl-PL"/>
        </w:rPr>
        <w:t xml:space="preserve"> produktów</w:t>
      </w:r>
      <w:r w:rsidRPr="0003637E">
        <w:rPr>
          <w:rFonts w:eastAsia="Times New Roman" w:cstheme="minorHAnsi"/>
          <w:sz w:val="24"/>
          <w:szCs w:val="24"/>
          <w:lang w:val="pl-PL"/>
        </w:rPr>
        <w:t>.</w:t>
      </w:r>
      <w:r w:rsidR="000A0AA7" w:rsidRPr="0003637E">
        <w:rPr>
          <w:rFonts w:eastAsia="Times New Roman" w:cstheme="minorHAnsi"/>
          <w:sz w:val="24"/>
          <w:szCs w:val="24"/>
          <w:lang w:val="pl-PL"/>
        </w:rPr>
        <w:t xml:space="preserve"> W ramach umowy EVFTA możliwości stosowania kumulacji zostały opisane w artykułach 3 i 6 Protokołu 1.</w:t>
      </w:r>
    </w:p>
    <w:p w14:paraId="5B652A83" w14:textId="71AE31A9" w:rsidR="00C103F0" w:rsidRPr="0003637E" w:rsidRDefault="00C103F0" w:rsidP="0003637E">
      <w:pPr>
        <w:pStyle w:val="Akapitzlist"/>
        <w:numPr>
          <w:ilvl w:val="0"/>
          <w:numId w:val="34"/>
        </w:numPr>
        <w:ind w:left="567" w:hanging="567"/>
        <w:rPr>
          <w:rFonts w:eastAsia="Times New Roman" w:cstheme="minorHAnsi"/>
          <w:sz w:val="24"/>
          <w:szCs w:val="24"/>
          <w:u w:val="single"/>
          <w:lang w:val="pl-PL"/>
        </w:rPr>
      </w:pPr>
      <w:r w:rsidRPr="0003637E">
        <w:rPr>
          <w:rFonts w:eastAsia="Times New Roman" w:cstheme="minorHAnsi"/>
          <w:sz w:val="24"/>
          <w:szCs w:val="24"/>
          <w:u w:val="single"/>
          <w:lang w:val="pl-PL"/>
        </w:rPr>
        <w:t>Kumulacja dwustronna</w:t>
      </w:r>
    </w:p>
    <w:p w14:paraId="32097031" w14:textId="4D0EDB0E" w:rsidR="00C103F0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lastRenderedPageBreak/>
        <w:t xml:space="preserve">Artykuł 3 ust. 1 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>P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rotokołu </w:t>
      </w:r>
      <w:r w:rsidR="00C1622A" w:rsidRPr="0003637E">
        <w:rPr>
          <w:rFonts w:eastAsia="Times New Roman" w:cstheme="minorHAnsi"/>
          <w:sz w:val="24"/>
          <w:szCs w:val="24"/>
          <w:lang w:val="pl-PL"/>
        </w:rPr>
        <w:t>1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przewiduje </w:t>
      </w:r>
      <w:r w:rsidR="00A21477" w:rsidRPr="0003637E">
        <w:rPr>
          <w:rFonts w:eastAsia="Times New Roman" w:cstheme="minorHAnsi"/>
          <w:sz w:val="24"/>
          <w:szCs w:val="24"/>
          <w:lang w:val="pl-PL"/>
        </w:rPr>
        <w:t xml:space="preserve">stosowanie </w:t>
      </w:r>
      <w:r w:rsidRPr="0003637E">
        <w:rPr>
          <w:rFonts w:eastAsia="Times New Roman" w:cstheme="minorHAnsi"/>
          <w:sz w:val="24"/>
          <w:szCs w:val="24"/>
          <w:lang w:val="pl-PL"/>
        </w:rPr>
        <w:t>kumula</w:t>
      </w:r>
      <w:r w:rsidR="00A21477" w:rsidRPr="0003637E">
        <w:rPr>
          <w:rFonts w:eastAsia="Times New Roman" w:cstheme="minorHAnsi"/>
          <w:sz w:val="24"/>
          <w:szCs w:val="24"/>
          <w:lang w:val="pl-PL"/>
        </w:rPr>
        <w:t>c</w:t>
      </w:r>
      <w:r w:rsidRPr="0003637E">
        <w:rPr>
          <w:rFonts w:eastAsia="Times New Roman" w:cstheme="minorHAnsi"/>
          <w:sz w:val="24"/>
          <w:szCs w:val="24"/>
          <w:lang w:val="pl-PL"/>
        </w:rPr>
        <w:t>j</w:t>
      </w:r>
      <w:r w:rsidR="00A21477" w:rsidRPr="0003637E">
        <w:rPr>
          <w:rFonts w:eastAsia="Times New Roman" w:cstheme="minorHAnsi"/>
          <w:sz w:val="24"/>
          <w:szCs w:val="24"/>
          <w:lang w:val="pl-PL"/>
        </w:rPr>
        <w:t>i</w:t>
      </w:r>
      <w:r w:rsidR="00C1622A" w:rsidRPr="0003637E">
        <w:rPr>
          <w:rFonts w:eastAsia="Times New Roman" w:cstheme="minorHAnsi"/>
          <w:sz w:val="24"/>
          <w:szCs w:val="24"/>
          <w:lang w:val="pl-PL"/>
        </w:rPr>
        <w:t xml:space="preserve"> bilateraln</w:t>
      </w:r>
      <w:r w:rsidR="00A21477" w:rsidRPr="0003637E">
        <w:rPr>
          <w:rFonts w:eastAsia="Times New Roman" w:cstheme="minorHAnsi"/>
          <w:sz w:val="24"/>
          <w:szCs w:val="24"/>
          <w:lang w:val="pl-PL"/>
        </w:rPr>
        <w:t>ej</w:t>
      </w:r>
      <w:r w:rsidR="00C1622A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9C4717" w:rsidRPr="0003637E">
        <w:rPr>
          <w:rFonts w:eastAsia="Times New Roman" w:cstheme="minorHAnsi"/>
          <w:sz w:val="24"/>
          <w:szCs w:val="24"/>
          <w:lang w:val="pl-PL"/>
        </w:rPr>
        <w:t>(</w:t>
      </w:r>
      <w:r w:rsidR="00C1622A" w:rsidRPr="0003637E">
        <w:rPr>
          <w:rFonts w:eastAsia="Times New Roman" w:cstheme="minorHAnsi"/>
          <w:sz w:val="24"/>
          <w:szCs w:val="24"/>
          <w:lang w:val="pl-PL"/>
        </w:rPr>
        <w:t>dwustronn</w:t>
      </w:r>
      <w:r w:rsidR="00A21477" w:rsidRPr="0003637E">
        <w:rPr>
          <w:rFonts w:eastAsia="Times New Roman" w:cstheme="minorHAnsi"/>
          <w:sz w:val="24"/>
          <w:szCs w:val="24"/>
          <w:lang w:val="pl-PL"/>
        </w:rPr>
        <w:t>ej</w:t>
      </w:r>
      <w:r w:rsidR="00C1622A" w:rsidRPr="0003637E">
        <w:rPr>
          <w:rFonts w:eastAsia="Times New Roman" w:cstheme="minorHAnsi"/>
          <w:sz w:val="24"/>
          <w:szCs w:val="24"/>
          <w:lang w:val="pl-PL"/>
        </w:rPr>
        <w:t>)</w:t>
      </w:r>
      <w:r w:rsidRPr="0003637E">
        <w:rPr>
          <w:rFonts w:eastAsia="Times New Roman" w:cstheme="minorHAnsi"/>
          <w:sz w:val="24"/>
          <w:szCs w:val="24"/>
          <w:lang w:val="pl-PL"/>
        </w:rPr>
        <w:t>.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 xml:space="preserve"> W jej ramach p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rodukty uważa się za pochodzące z 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 xml:space="preserve">jednej </w:t>
      </w:r>
      <w:r w:rsidR="00C1622A" w:rsidRPr="0003637E">
        <w:rPr>
          <w:rFonts w:eastAsia="Times New Roman" w:cstheme="minorHAnsi"/>
          <w:sz w:val="24"/>
          <w:szCs w:val="24"/>
          <w:lang w:val="pl-PL"/>
        </w:rPr>
        <w:t>S</w:t>
      </w:r>
      <w:r w:rsidRPr="0003637E">
        <w:rPr>
          <w:rFonts w:eastAsia="Times New Roman" w:cstheme="minorHAnsi"/>
          <w:sz w:val="24"/>
          <w:szCs w:val="24"/>
          <w:lang w:val="pl-PL"/>
        </w:rPr>
        <w:t>trony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 xml:space="preserve"> umowy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>(odpowiednio z UE lub Wietnamu)</w:t>
      </w:r>
      <w:r w:rsidRPr="0003637E">
        <w:rPr>
          <w:rFonts w:eastAsia="Times New Roman" w:cstheme="minorHAnsi"/>
          <w:sz w:val="24"/>
          <w:szCs w:val="24"/>
          <w:lang w:val="pl-PL"/>
        </w:rPr>
        <w:t>, jeżeli</w:t>
      </w:r>
      <w:r w:rsidR="00C1622A" w:rsidRPr="0003637E">
        <w:rPr>
          <w:rFonts w:eastAsia="Times New Roman" w:cstheme="minorHAnsi"/>
          <w:sz w:val="24"/>
          <w:szCs w:val="24"/>
          <w:lang w:val="pl-PL"/>
        </w:rPr>
        <w:t xml:space="preserve"> zostały tam uzyskane 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 xml:space="preserve">poprzez 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>wykorzystanie do ich wytworzenia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 xml:space="preserve"> materiałów pochodzących z drugiej Strony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 xml:space="preserve"> umowy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 xml:space="preserve">, pod warunkiem, </w:t>
      </w:r>
      <w:r w:rsidR="009C1425" w:rsidRPr="0003637E">
        <w:rPr>
          <w:rFonts w:eastAsia="Times New Roman" w:cstheme="minorHAnsi"/>
          <w:sz w:val="24"/>
          <w:szCs w:val="24"/>
          <w:lang w:val="pl-PL"/>
        </w:rPr>
        <w:t>ż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 xml:space="preserve">e </w:t>
      </w:r>
      <w:r w:rsidR="00A21477" w:rsidRPr="0003637E">
        <w:rPr>
          <w:rFonts w:eastAsia="Times New Roman" w:cstheme="minorHAnsi"/>
          <w:sz w:val="24"/>
          <w:szCs w:val="24"/>
          <w:lang w:val="pl-PL"/>
        </w:rPr>
        <w:t xml:space="preserve">zastosowanie takiej kumulacji prowadzi do spełnienia przez otrzymywane produkty właściwej dla nich reguły pochodzenia, a 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 xml:space="preserve">przeprowadzone na terytorium 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 xml:space="preserve">danej 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>Strony obróbk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>i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 xml:space="preserve"> lub przetworzeni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>a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 xml:space="preserve"> wykraczają poza czynności, o których mowa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w art. 6 </w:t>
      </w:r>
      <w:r w:rsidR="00A21477" w:rsidRPr="0003637E">
        <w:rPr>
          <w:rFonts w:eastAsia="Times New Roman" w:cstheme="minorHAnsi"/>
          <w:sz w:val="24"/>
          <w:szCs w:val="24"/>
          <w:lang w:val="pl-PL"/>
        </w:rPr>
        <w:t xml:space="preserve">Protokołu 1 </w:t>
      </w:r>
      <w:r w:rsidRPr="0003637E">
        <w:rPr>
          <w:rFonts w:eastAsia="Times New Roman" w:cstheme="minorHAnsi"/>
          <w:sz w:val="24"/>
          <w:szCs w:val="24"/>
          <w:lang w:val="pl-PL"/>
        </w:rPr>
        <w:t>(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>N</w:t>
      </w:r>
      <w:r w:rsidRPr="0003637E">
        <w:rPr>
          <w:rFonts w:eastAsia="Times New Roman" w:cstheme="minorHAnsi"/>
          <w:sz w:val="24"/>
          <w:szCs w:val="24"/>
          <w:lang w:val="pl-PL"/>
        </w:rPr>
        <w:t>iewystarczająca obróbka lub przetworzenie).</w:t>
      </w:r>
      <w:r w:rsidR="0027765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>Producent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>wykor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 xml:space="preserve">zystujący </w:t>
      </w:r>
      <w:r w:rsidR="00A21477" w:rsidRPr="0003637E">
        <w:rPr>
          <w:rFonts w:eastAsia="Times New Roman" w:cstheme="minorHAnsi"/>
          <w:sz w:val="24"/>
          <w:szCs w:val="24"/>
          <w:lang w:val="pl-PL"/>
        </w:rPr>
        <w:t xml:space="preserve">w ramach kumulacji dwustronnej 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 xml:space="preserve">materiały pochodzące </w:t>
      </w:r>
      <w:r w:rsidR="00A21477" w:rsidRPr="0003637E">
        <w:rPr>
          <w:rFonts w:eastAsia="Times New Roman" w:cstheme="minorHAnsi"/>
          <w:sz w:val="24"/>
          <w:szCs w:val="24"/>
          <w:lang w:val="pl-PL"/>
        </w:rPr>
        <w:t>z</w:t>
      </w:r>
      <w:r w:rsidR="0027765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drugiej 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>S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trony </w:t>
      </w:r>
      <w:r w:rsidR="00383E6E" w:rsidRPr="0003637E">
        <w:rPr>
          <w:rFonts w:eastAsia="Times New Roman" w:cstheme="minorHAnsi"/>
          <w:sz w:val="24"/>
          <w:szCs w:val="24"/>
          <w:lang w:val="pl-PL"/>
        </w:rPr>
        <w:t>umowy,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musi posiadać </w:t>
      </w:r>
      <w:r w:rsidR="003F7390" w:rsidRPr="0003637E">
        <w:rPr>
          <w:rFonts w:eastAsia="Times New Roman" w:cstheme="minorHAnsi"/>
          <w:sz w:val="24"/>
          <w:szCs w:val="24"/>
          <w:lang w:val="pl-PL"/>
        </w:rPr>
        <w:t xml:space="preserve">przewidziany umową </w:t>
      </w:r>
      <w:r w:rsidRPr="0003637E">
        <w:rPr>
          <w:rFonts w:eastAsia="Times New Roman" w:cstheme="minorHAnsi"/>
          <w:sz w:val="24"/>
          <w:szCs w:val="24"/>
          <w:lang w:val="pl-PL"/>
        </w:rPr>
        <w:t>dowód pochodzenia tych materiałów</w:t>
      </w:r>
      <w:r w:rsidR="009A4775" w:rsidRPr="0003637E">
        <w:rPr>
          <w:rFonts w:eastAsia="Times New Roman" w:cstheme="minorHAnsi"/>
          <w:sz w:val="24"/>
          <w:szCs w:val="24"/>
          <w:lang w:val="pl-PL"/>
        </w:rPr>
        <w:t>.</w:t>
      </w:r>
    </w:p>
    <w:p w14:paraId="2902D620" w14:textId="34C07003" w:rsidR="00241C84" w:rsidRPr="0003637E" w:rsidRDefault="00241C84" w:rsidP="0003637E">
      <w:pPr>
        <w:pStyle w:val="Akapitzlist"/>
        <w:numPr>
          <w:ilvl w:val="0"/>
          <w:numId w:val="34"/>
        </w:numPr>
        <w:ind w:left="567" w:hanging="567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Inne typy kumulacji</w:t>
      </w:r>
    </w:p>
    <w:p w14:paraId="5595FFED" w14:textId="7E5F3B38" w:rsidR="00241C84" w:rsidRPr="0003637E" w:rsidRDefault="00241C84" w:rsidP="0003637E">
      <w:pPr>
        <w:spacing w:after="0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Protokół 1 przewiduje możliwość stosowania także innych typów kumulacji:</w:t>
      </w:r>
    </w:p>
    <w:p w14:paraId="2F21E550" w14:textId="55297AED" w:rsidR="00C103F0" w:rsidRPr="0003637E" w:rsidRDefault="00241C84" w:rsidP="0003637E">
      <w:pPr>
        <w:spacing w:after="0"/>
        <w:ind w:left="142" w:hanging="142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lastRenderedPageBreak/>
        <w:t>- k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umulacja w odniesieniu do niektórych gatunków ryb pochodzących z krajów ASEAN, które zawarły z UE umowę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o wolnym handlu;</w:t>
      </w:r>
    </w:p>
    <w:p w14:paraId="3CC11881" w14:textId="2B6D2B7A" w:rsidR="00241C84" w:rsidRPr="0003637E" w:rsidRDefault="00241C84" w:rsidP="0003637E">
      <w:pPr>
        <w:spacing w:after="0"/>
        <w:ind w:left="142" w:hanging="142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- kumulacja dotycząca tkanin pochodzących z Korei Południowej;</w:t>
      </w:r>
    </w:p>
    <w:p w14:paraId="1F792714" w14:textId="35EB6CF9" w:rsidR="00241C84" w:rsidRPr="0003637E" w:rsidRDefault="00241C84" w:rsidP="0003637E">
      <w:pPr>
        <w:spacing w:after="120"/>
        <w:ind w:left="142" w:hanging="142"/>
        <w:rPr>
          <w:rFonts w:eastAsia="Times New Roman" w:cstheme="minorHAnsi"/>
          <w:sz w:val="24"/>
          <w:szCs w:val="24"/>
          <w:u w:val="single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- klauzula umożliwiająca kumulację pochodzenia </w:t>
      </w:r>
      <w:r w:rsidR="003F7390" w:rsidRPr="0003637E">
        <w:rPr>
          <w:rFonts w:eastAsia="Times New Roman" w:cstheme="minorHAnsi"/>
          <w:sz w:val="24"/>
          <w:szCs w:val="24"/>
          <w:lang w:val="pl-PL"/>
        </w:rPr>
        <w:t>w odniesieniu do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tkanin</w:t>
      </w:r>
      <w:r w:rsidR="009E1AC6" w:rsidRPr="0003637E">
        <w:rPr>
          <w:rFonts w:eastAsia="Times New Roman" w:cstheme="minorHAnsi"/>
          <w:sz w:val="24"/>
          <w:szCs w:val="24"/>
          <w:lang w:val="pl-PL"/>
        </w:rPr>
        <w:t xml:space="preserve"> pochodzących z kraju, z</w:t>
      </w:r>
      <w:r w:rsidR="0027765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>którym zarówno UE</w:t>
      </w:r>
      <w:r w:rsidR="00277650" w:rsidRPr="0003637E">
        <w:rPr>
          <w:rFonts w:eastAsia="Times New Roman" w:cstheme="minorHAnsi"/>
          <w:sz w:val="24"/>
          <w:szCs w:val="24"/>
          <w:lang w:val="pl-PL"/>
        </w:rPr>
        <w:t>, jak i Wietnam zawarły umowę o </w:t>
      </w:r>
      <w:r w:rsidRPr="0003637E">
        <w:rPr>
          <w:rFonts w:eastAsia="Times New Roman" w:cstheme="minorHAnsi"/>
          <w:sz w:val="24"/>
          <w:szCs w:val="24"/>
          <w:lang w:val="pl-PL"/>
        </w:rPr>
        <w:t>wolnym handlu.</w:t>
      </w:r>
    </w:p>
    <w:p w14:paraId="0E1BF9FB" w14:textId="1B4FC299" w:rsidR="00241C84" w:rsidRPr="0003637E" w:rsidRDefault="00241C84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Tego typu kumulacje pochodzenia nie </w:t>
      </w:r>
      <w:r w:rsidR="003F7390" w:rsidRPr="0003637E">
        <w:rPr>
          <w:rFonts w:eastAsia="Times New Roman" w:cstheme="minorHAnsi"/>
          <w:sz w:val="24"/>
          <w:szCs w:val="24"/>
          <w:lang w:val="pl-PL"/>
        </w:rPr>
        <w:t>są obecnie</w:t>
      </w:r>
      <w:r w:rsidR="009E1AC6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>stosowane.</w:t>
      </w:r>
      <w:r w:rsidR="003F739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112D41C" w14:textId="77777777" w:rsidR="00A31834" w:rsidRPr="0003637E" w:rsidRDefault="00A31834" w:rsidP="0003637E">
      <w:pPr>
        <w:rPr>
          <w:rFonts w:eastAsia="Times New Roman" w:cstheme="minorHAnsi"/>
          <w:sz w:val="24"/>
          <w:szCs w:val="24"/>
          <w:lang w:val="pl-PL"/>
        </w:rPr>
      </w:pPr>
    </w:p>
    <w:p w14:paraId="30E7247D" w14:textId="06644E0C" w:rsidR="00C103F0" w:rsidRPr="0003637E" w:rsidRDefault="00A31834" w:rsidP="0003637E">
      <w:pPr>
        <w:rPr>
          <w:rFonts w:eastAsia="Times New Roman" w:cstheme="minorHAnsi"/>
          <w:b/>
          <w:sz w:val="24"/>
          <w:szCs w:val="24"/>
          <w:lang w:val="pl-PL"/>
        </w:rPr>
      </w:pPr>
      <w:r w:rsidRPr="0003637E">
        <w:rPr>
          <w:rFonts w:eastAsia="Times New Roman" w:cstheme="minorHAnsi"/>
          <w:b/>
          <w:sz w:val="24"/>
          <w:szCs w:val="24"/>
          <w:lang w:val="pl-PL"/>
        </w:rPr>
        <w:t xml:space="preserve">IV. </w:t>
      </w:r>
      <w:r w:rsidR="00C103F0" w:rsidRPr="0003637E">
        <w:rPr>
          <w:rFonts w:eastAsia="Times New Roman" w:cstheme="minorHAnsi"/>
          <w:b/>
          <w:sz w:val="24"/>
          <w:szCs w:val="24"/>
          <w:lang w:val="pl-PL"/>
        </w:rPr>
        <w:t xml:space="preserve">Zasada </w:t>
      </w:r>
      <w:proofErr w:type="spellStart"/>
      <w:r w:rsidR="009634D5" w:rsidRPr="0003637E">
        <w:rPr>
          <w:rFonts w:eastAsia="Times New Roman" w:cstheme="minorHAnsi"/>
          <w:b/>
          <w:sz w:val="24"/>
          <w:szCs w:val="24"/>
          <w:lang w:val="pl-PL"/>
        </w:rPr>
        <w:t>niemanipulacji</w:t>
      </w:r>
      <w:proofErr w:type="spellEnd"/>
    </w:p>
    <w:p w14:paraId="115EC58E" w14:textId="29566104" w:rsidR="00C103F0" w:rsidRPr="0003637E" w:rsidRDefault="009634D5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Umowa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EVFTA przewiduje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w art. 13 Protokołu 1 tzw. </w:t>
      </w:r>
      <w:r w:rsidR="00A31834" w:rsidRPr="0003637E">
        <w:rPr>
          <w:rFonts w:eastAsia="Times New Roman" w:cstheme="minorHAnsi"/>
          <w:sz w:val="24"/>
          <w:szCs w:val="24"/>
          <w:lang w:val="pl-PL"/>
        </w:rPr>
        <w:t>„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zasadę </w:t>
      </w:r>
      <w:proofErr w:type="spellStart"/>
      <w:r w:rsidR="00D85D0E" w:rsidRPr="0003637E">
        <w:rPr>
          <w:rFonts w:eastAsia="Times New Roman" w:cstheme="minorHAnsi"/>
          <w:sz w:val="24"/>
          <w:szCs w:val="24"/>
          <w:lang w:val="pl-PL"/>
        </w:rPr>
        <w:t>niemanipulacji</w:t>
      </w:r>
      <w:proofErr w:type="spellEnd"/>
      <w:r w:rsidR="00A31834" w:rsidRPr="0003637E">
        <w:rPr>
          <w:rFonts w:eastAsia="Times New Roman" w:cstheme="minorHAnsi"/>
          <w:sz w:val="24"/>
          <w:szCs w:val="24"/>
          <w:lang w:val="pl-PL"/>
        </w:rPr>
        <w:t>”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>,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podobną do </w:t>
      </w:r>
      <w:r w:rsidR="00A31834" w:rsidRPr="0003637E">
        <w:rPr>
          <w:rFonts w:eastAsia="Times New Roman" w:cstheme="minorHAnsi"/>
          <w:sz w:val="24"/>
          <w:szCs w:val="24"/>
          <w:lang w:val="pl-PL"/>
        </w:rPr>
        <w:t>„</w:t>
      </w:r>
      <w:r w:rsidRPr="0003637E">
        <w:rPr>
          <w:rFonts w:eastAsia="Times New Roman" w:cstheme="minorHAnsi"/>
          <w:sz w:val="24"/>
          <w:szCs w:val="24"/>
          <w:lang w:val="pl-PL"/>
        </w:rPr>
        <w:t>zasady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 xml:space="preserve">transportu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bezpośredniego</w:t>
      </w:r>
      <w:r w:rsidR="00A31834" w:rsidRPr="0003637E">
        <w:rPr>
          <w:rFonts w:eastAsia="Times New Roman" w:cstheme="minorHAnsi"/>
          <w:sz w:val="24"/>
          <w:szCs w:val="24"/>
          <w:lang w:val="pl-PL"/>
        </w:rPr>
        <w:t>”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spotykanej w innych uzgodnieniach preferencyjnych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>.</w:t>
      </w:r>
      <w:r w:rsidR="00A31834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Produkty przywożone do UE/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>Wietnamu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>musz</w:t>
      </w:r>
      <w:r w:rsidRPr="0003637E">
        <w:rPr>
          <w:rFonts w:eastAsia="Times New Roman" w:cstheme="minorHAnsi"/>
          <w:sz w:val="24"/>
          <w:szCs w:val="24"/>
          <w:lang w:val="pl-PL"/>
        </w:rPr>
        <w:t>ą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 xml:space="preserve"> być dokładnie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tymi samymi produktami co produkty wywożone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odpowiednio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z Wietnamu/UE.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Nie mogą one być zmieniane, przekształcane w żaden sposób ani poddawane 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>czynnościom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innym niż mające na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lastRenderedPageBreak/>
        <w:t xml:space="preserve">celu zachowanie ich 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>w dobrym stanie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lub 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 xml:space="preserve">czynnościom innym niż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dodawanie lub umieszczanie znaków, etykiet, 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>pieczęci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lub jakiejkolwiek innej dokumentacji w celu zapewnienia zgodności ze szczególnymi wymogami krajowymi Strony przywozu.</w:t>
      </w:r>
    </w:p>
    <w:p w14:paraId="5BA1E4A6" w14:textId="7919486A" w:rsidR="00C103F0" w:rsidRPr="0003637E" w:rsidRDefault="00C103F0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Składowanie produktów może mieć miejsce, jeżeli produkty pozostają pod dozorem celnym w kraju(-ach) tranzytu.</w:t>
      </w:r>
      <w:r w:rsidR="009634D5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Podział przesyłek może mieć </w:t>
      </w:r>
      <w:r w:rsidR="009634D5" w:rsidRPr="0003637E">
        <w:rPr>
          <w:rFonts w:eastAsia="Times New Roman" w:cstheme="minorHAnsi"/>
          <w:sz w:val="24"/>
          <w:szCs w:val="24"/>
          <w:lang w:val="pl-PL"/>
        </w:rPr>
        <w:t xml:space="preserve">również tam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miejsce, jeżeli odbywa się </w:t>
      </w:r>
      <w:r w:rsidR="00A31834" w:rsidRPr="0003637E">
        <w:rPr>
          <w:rFonts w:eastAsia="Times New Roman" w:cstheme="minorHAnsi"/>
          <w:sz w:val="24"/>
          <w:szCs w:val="24"/>
          <w:lang w:val="pl-PL"/>
        </w:rPr>
        <w:t xml:space="preserve">na wniosek i </w:t>
      </w:r>
      <w:r w:rsidRPr="0003637E">
        <w:rPr>
          <w:rFonts w:eastAsia="Times New Roman" w:cstheme="minorHAnsi"/>
          <w:sz w:val="24"/>
          <w:szCs w:val="24"/>
          <w:lang w:val="pl-PL"/>
        </w:rPr>
        <w:t>odpowiedzialność eksportera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>.</w:t>
      </w:r>
      <w:r w:rsidR="00CC3B36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W przypadku przeładunku lub tymczasowego składowania w państwie trzecim konieczne </w:t>
      </w:r>
      <w:r w:rsidR="00A31834" w:rsidRPr="0003637E">
        <w:rPr>
          <w:rFonts w:eastAsia="Times New Roman" w:cstheme="minorHAnsi"/>
          <w:sz w:val="24"/>
          <w:szCs w:val="24"/>
          <w:lang w:val="pl-PL"/>
        </w:rPr>
        <w:t>może być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udowodnienie, że przesyłka lub, w przypadku </w:t>
      </w:r>
      <w:r w:rsidR="009634D5" w:rsidRPr="0003637E">
        <w:rPr>
          <w:rFonts w:eastAsia="Times New Roman" w:cstheme="minorHAnsi"/>
          <w:sz w:val="24"/>
          <w:szCs w:val="24"/>
          <w:lang w:val="pl-PL"/>
        </w:rPr>
        <w:t xml:space="preserve">jej </w:t>
      </w:r>
      <w:r w:rsidRPr="0003637E">
        <w:rPr>
          <w:rFonts w:eastAsia="Times New Roman" w:cstheme="minorHAnsi"/>
          <w:sz w:val="24"/>
          <w:szCs w:val="24"/>
          <w:lang w:val="pl-PL"/>
        </w:rPr>
        <w:t>podziału, części przesyłki, któr</w:t>
      </w:r>
      <w:r w:rsidR="009634D5" w:rsidRPr="0003637E">
        <w:rPr>
          <w:rFonts w:eastAsia="Times New Roman" w:cstheme="minorHAnsi"/>
          <w:sz w:val="24"/>
          <w:szCs w:val="24"/>
          <w:lang w:val="pl-PL"/>
        </w:rPr>
        <w:t>a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opuścił</w:t>
      </w:r>
      <w:r w:rsidR="00A31834" w:rsidRPr="0003637E">
        <w:rPr>
          <w:rFonts w:eastAsia="Times New Roman" w:cstheme="minorHAnsi"/>
          <w:sz w:val="24"/>
          <w:szCs w:val="24"/>
          <w:lang w:val="pl-PL"/>
        </w:rPr>
        <w:t>a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>kraj wywozu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, 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 xml:space="preserve">jest </w:t>
      </w:r>
      <w:r w:rsidR="009634D5" w:rsidRPr="0003637E">
        <w:rPr>
          <w:rFonts w:eastAsia="Times New Roman" w:cstheme="minorHAnsi"/>
          <w:sz w:val="24"/>
          <w:szCs w:val="24"/>
          <w:lang w:val="pl-PL"/>
        </w:rPr>
        <w:t xml:space="preserve">to 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 xml:space="preserve">ta </w:t>
      </w:r>
      <w:r w:rsidRPr="0003637E">
        <w:rPr>
          <w:rFonts w:eastAsia="Times New Roman" w:cstheme="minorHAnsi"/>
          <w:sz w:val="24"/>
          <w:szCs w:val="24"/>
          <w:lang w:val="pl-PL"/>
        </w:rPr>
        <w:t>sam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>a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przesyłka, która przybyła do kraju przywozu.</w:t>
      </w:r>
    </w:p>
    <w:p w14:paraId="273CF74F" w14:textId="396F6578" w:rsidR="00C103F0" w:rsidRPr="0003637E" w:rsidRDefault="00C103F0" w:rsidP="0003637E">
      <w:pPr>
        <w:spacing w:after="120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Organy celne </w:t>
      </w:r>
      <w:r w:rsidR="004D2D81" w:rsidRPr="0003637E">
        <w:rPr>
          <w:rFonts w:eastAsia="Times New Roman" w:cstheme="minorHAnsi"/>
          <w:sz w:val="24"/>
          <w:szCs w:val="24"/>
          <w:lang w:val="pl-PL"/>
        </w:rPr>
        <w:t>kraju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przywozu mogą zażądać dokumentów potwierdzających, że produkty pochodzące nie zostały poddane żadnemu procesowi przetwarzania, który jest niedozwolony.</w:t>
      </w:r>
      <w:r w:rsidR="00D85D0E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9C4717" w:rsidRPr="0003637E">
        <w:rPr>
          <w:rFonts w:eastAsia="Times New Roman" w:cstheme="minorHAnsi"/>
          <w:sz w:val="24"/>
          <w:szCs w:val="24"/>
          <w:lang w:val="pl-PL"/>
        </w:rPr>
        <w:t>Udokumentowanie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D2D81" w:rsidRPr="0003637E">
        <w:rPr>
          <w:rFonts w:eastAsia="Times New Roman" w:cstheme="minorHAnsi"/>
          <w:sz w:val="24"/>
          <w:szCs w:val="24"/>
          <w:lang w:val="pl-PL"/>
        </w:rPr>
        <w:t xml:space="preserve">tego jest możliwe 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 xml:space="preserve">za pomocą </w:t>
      </w:r>
      <w:r w:rsidR="004D2D81" w:rsidRPr="0003637E">
        <w:rPr>
          <w:rFonts w:eastAsia="Times New Roman" w:cstheme="minorHAnsi"/>
          <w:sz w:val="24"/>
          <w:szCs w:val="24"/>
          <w:lang w:val="pl-PL"/>
        </w:rPr>
        <w:t xml:space="preserve">różnych 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 xml:space="preserve">środków, między innymi </w:t>
      </w:r>
      <w:r w:rsidR="004D2D81" w:rsidRPr="0003637E">
        <w:rPr>
          <w:rFonts w:eastAsia="Times New Roman" w:cstheme="minorHAnsi"/>
          <w:sz w:val="24"/>
          <w:szCs w:val="24"/>
          <w:lang w:val="pl-PL"/>
        </w:rPr>
        <w:t>poprzez przedstawienie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>:</w:t>
      </w:r>
    </w:p>
    <w:p w14:paraId="68E8677D" w14:textId="25AFD7E3" w:rsidR="00C103F0" w:rsidRPr="0003637E" w:rsidRDefault="004D2D81" w:rsidP="0003637E">
      <w:pPr>
        <w:spacing w:after="0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a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) dokument</w:t>
      </w:r>
      <w:r w:rsidRPr="0003637E">
        <w:rPr>
          <w:rFonts w:eastAsia="Times New Roman" w:cstheme="minorHAnsi"/>
          <w:sz w:val="24"/>
          <w:szCs w:val="24"/>
          <w:lang w:val="pl-PL"/>
        </w:rPr>
        <w:t>ów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>transportowych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>, taki</w:t>
      </w:r>
      <w:r w:rsidRPr="0003637E">
        <w:rPr>
          <w:rFonts w:eastAsia="Times New Roman" w:cstheme="minorHAnsi"/>
          <w:sz w:val="24"/>
          <w:szCs w:val="24"/>
          <w:lang w:val="pl-PL"/>
        </w:rPr>
        <w:t>ch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 xml:space="preserve"> jak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np. 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>konosament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;</w:t>
      </w:r>
    </w:p>
    <w:p w14:paraId="36D725CA" w14:textId="1EA12F5D" w:rsidR="00C103F0" w:rsidRPr="0003637E" w:rsidRDefault="004D2D81" w:rsidP="0003637E">
      <w:pPr>
        <w:spacing w:after="0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lastRenderedPageBreak/>
        <w:t>b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) 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>dowod</w:t>
      </w:r>
      <w:r w:rsidRPr="0003637E">
        <w:rPr>
          <w:rFonts w:eastAsia="Times New Roman" w:cstheme="minorHAnsi"/>
          <w:sz w:val="24"/>
          <w:szCs w:val="24"/>
          <w:lang w:val="pl-PL"/>
        </w:rPr>
        <w:t>ów opartych na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oznakowani</w:t>
      </w:r>
      <w:r w:rsidRPr="0003637E">
        <w:rPr>
          <w:rFonts w:eastAsia="Times New Roman" w:cstheme="minorHAnsi"/>
          <w:sz w:val="24"/>
          <w:szCs w:val="24"/>
          <w:lang w:val="pl-PL"/>
        </w:rPr>
        <w:t>u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lub numerac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>j</w:t>
      </w:r>
      <w:r w:rsidRPr="0003637E">
        <w:rPr>
          <w:rFonts w:eastAsia="Times New Roman" w:cstheme="minorHAnsi"/>
          <w:sz w:val="24"/>
          <w:szCs w:val="24"/>
          <w:lang w:val="pl-PL"/>
        </w:rPr>
        <w:t>i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opakowań;</w:t>
      </w:r>
    </w:p>
    <w:p w14:paraId="76D18820" w14:textId="2D26D5EE" w:rsidR="00C103F0" w:rsidRPr="0003637E" w:rsidRDefault="004D2D81" w:rsidP="0003637E">
      <w:pPr>
        <w:spacing w:after="0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c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) 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>inn</w:t>
      </w:r>
      <w:r w:rsidRPr="0003637E">
        <w:rPr>
          <w:rFonts w:eastAsia="Times New Roman" w:cstheme="minorHAnsi"/>
          <w:sz w:val="24"/>
          <w:szCs w:val="24"/>
          <w:lang w:val="pl-PL"/>
        </w:rPr>
        <w:t>ych</w:t>
      </w:r>
      <w:r w:rsidR="0064358A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dowod</w:t>
      </w:r>
      <w:r w:rsidRPr="0003637E">
        <w:rPr>
          <w:rFonts w:eastAsia="Times New Roman" w:cstheme="minorHAnsi"/>
          <w:sz w:val="24"/>
          <w:szCs w:val="24"/>
          <w:lang w:val="pl-PL"/>
        </w:rPr>
        <w:t>ów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związan</w:t>
      </w:r>
      <w:r w:rsidRPr="0003637E">
        <w:rPr>
          <w:rFonts w:eastAsia="Times New Roman" w:cstheme="minorHAnsi"/>
          <w:sz w:val="24"/>
          <w:szCs w:val="24"/>
          <w:lang w:val="pl-PL"/>
        </w:rPr>
        <w:t>ych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z samymi </w:t>
      </w:r>
      <w:r w:rsidRPr="0003637E">
        <w:rPr>
          <w:rFonts w:eastAsia="Times New Roman" w:cstheme="minorHAnsi"/>
          <w:sz w:val="24"/>
          <w:szCs w:val="24"/>
          <w:lang w:val="pl-PL"/>
        </w:rPr>
        <w:t>produktami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;</w:t>
      </w:r>
    </w:p>
    <w:p w14:paraId="5F603A58" w14:textId="2BC41F73" w:rsidR="00C103F0" w:rsidRPr="0003637E" w:rsidRDefault="004D2D81" w:rsidP="0003637E">
      <w:pPr>
        <w:ind w:left="142" w:hanging="142"/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>d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) świadectw</w:t>
      </w:r>
      <w:r w:rsidRPr="0003637E">
        <w:rPr>
          <w:rFonts w:eastAsia="Times New Roman" w:cstheme="minorHAnsi"/>
          <w:sz w:val="24"/>
          <w:szCs w:val="24"/>
          <w:lang w:val="pl-PL"/>
        </w:rPr>
        <w:t>a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proofErr w:type="spellStart"/>
      <w:r w:rsidR="00C103F0" w:rsidRPr="0003637E">
        <w:rPr>
          <w:rFonts w:eastAsia="Times New Roman" w:cstheme="minorHAnsi"/>
          <w:sz w:val="24"/>
          <w:szCs w:val="24"/>
          <w:lang w:val="pl-PL"/>
        </w:rPr>
        <w:t>niemanipulacji</w:t>
      </w:r>
      <w:proofErr w:type="spellEnd"/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wydane</w:t>
      </w:r>
      <w:r w:rsidRPr="0003637E">
        <w:rPr>
          <w:rFonts w:eastAsia="Times New Roman" w:cstheme="minorHAnsi"/>
          <w:sz w:val="24"/>
          <w:szCs w:val="24"/>
          <w:lang w:val="pl-PL"/>
        </w:rPr>
        <w:t>go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przez organy celne kraju lub krajów tranzytu, </w:t>
      </w:r>
      <w:r w:rsidRPr="0003637E">
        <w:rPr>
          <w:rFonts w:eastAsia="Times New Roman" w:cstheme="minorHAnsi"/>
          <w:sz w:val="24"/>
          <w:szCs w:val="24"/>
          <w:lang w:val="pl-PL"/>
        </w:rPr>
        <w:t>a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lb</w:t>
      </w:r>
      <w:r w:rsidRPr="0003637E">
        <w:rPr>
          <w:rFonts w:eastAsia="Times New Roman" w:cstheme="minorHAnsi"/>
          <w:sz w:val="24"/>
          <w:szCs w:val="24"/>
          <w:lang w:val="pl-PL"/>
        </w:rPr>
        <w:t>o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inn</w:t>
      </w:r>
      <w:r w:rsidRPr="0003637E">
        <w:rPr>
          <w:rFonts w:eastAsia="Times New Roman" w:cstheme="minorHAnsi"/>
          <w:sz w:val="24"/>
          <w:szCs w:val="24"/>
          <w:lang w:val="pl-PL"/>
        </w:rPr>
        <w:t>ych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dokument</w:t>
      </w:r>
      <w:r w:rsidRPr="0003637E">
        <w:rPr>
          <w:rFonts w:eastAsia="Times New Roman" w:cstheme="minorHAnsi"/>
          <w:sz w:val="24"/>
          <w:szCs w:val="24"/>
          <w:lang w:val="pl-PL"/>
        </w:rPr>
        <w:t>ów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wykazując</w:t>
      </w:r>
      <w:r w:rsidRPr="0003637E">
        <w:rPr>
          <w:rFonts w:eastAsia="Times New Roman" w:cstheme="minorHAnsi"/>
          <w:sz w:val="24"/>
          <w:szCs w:val="24"/>
          <w:lang w:val="pl-PL"/>
        </w:rPr>
        <w:t>ych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, że towary pozostawały pod dozorem celnym w kraju lub krajach tranzytu.</w:t>
      </w:r>
    </w:p>
    <w:p w14:paraId="7EC3F429" w14:textId="67900BCE" w:rsidR="00C103F0" w:rsidRPr="0003637E" w:rsidRDefault="00A31834" w:rsidP="0003637E">
      <w:pPr>
        <w:rPr>
          <w:rFonts w:eastAsia="Times New Roman" w:cstheme="minorHAnsi"/>
          <w:b/>
          <w:sz w:val="24"/>
          <w:szCs w:val="24"/>
          <w:lang w:val="pl-PL"/>
        </w:rPr>
      </w:pPr>
      <w:r w:rsidRPr="0003637E">
        <w:rPr>
          <w:rFonts w:eastAsia="Times New Roman" w:cstheme="minorHAnsi"/>
          <w:b/>
          <w:sz w:val="24"/>
          <w:szCs w:val="24"/>
          <w:lang w:val="pl-PL"/>
        </w:rPr>
        <w:t xml:space="preserve">V. </w:t>
      </w:r>
      <w:r w:rsidR="0064358A" w:rsidRPr="0003637E">
        <w:rPr>
          <w:rFonts w:eastAsia="Times New Roman" w:cstheme="minorHAnsi"/>
          <w:b/>
          <w:sz w:val="24"/>
          <w:szCs w:val="24"/>
          <w:lang w:val="pl-PL"/>
        </w:rPr>
        <w:t xml:space="preserve">Przepisy </w:t>
      </w:r>
      <w:r w:rsidR="00C103F0" w:rsidRPr="0003637E">
        <w:rPr>
          <w:rFonts w:eastAsia="Times New Roman" w:cstheme="minorHAnsi"/>
          <w:b/>
          <w:sz w:val="24"/>
          <w:szCs w:val="24"/>
          <w:lang w:val="pl-PL"/>
        </w:rPr>
        <w:t>przejściowe</w:t>
      </w:r>
    </w:p>
    <w:p w14:paraId="3206A202" w14:textId="3257DF2E" w:rsidR="002261E4" w:rsidRDefault="003026D7" w:rsidP="0003637E">
      <w:pPr>
        <w:rPr>
          <w:rFonts w:eastAsia="Times New Roman" w:cstheme="minorHAnsi"/>
          <w:sz w:val="24"/>
          <w:szCs w:val="24"/>
          <w:lang w:val="pl-PL"/>
        </w:rPr>
      </w:pPr>
      <w:r w:rsidRPr="0003637E">
        <w:rPr>
          <w:rFonts w:eastAsia="Times New Roman" w:cstheme="minorHAnsi"/>
          <w:sz w:val="24"/>
          <w:szCs w:val="24"/>
          <w:lang w:val="pl-PL"/>
        </w:rPr>
        <w:t xml:space="preserve">Zgodnie z art. 38 (Przepisy przejściowe) </w:t>
      </w:r>
      <w:r w:rsidR="00A31834" w:rsidRPr="0003637E">
        <w:rPr>
          <w:rFonts w:eastAsia="Times New Roman" w:cstheme="minorHAnsi"/>
          <w:sz w:val="24"/>
          <w:szCs w:val="24"/>
          <w:lang w:val="pl-PL"/>
        </w:rPr>
        <w:t>Protokołu 1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p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 xml:space="preserve">referencyjne traktowanie taryfowe na mocy </w:t>
      </w:r>
      <w:r w:rsidR="00171231" w:rsidRPr="0003637E">
        <w:rPr>
          <w:rFonts w:eastAsia="Times New Roman" w:cstheme="minorHAnsi"/>
          <w:sz w:val="24"/>
          <w:szCs w:val="24"/>
          <w:lang w:val="pl-PL"/>
        </w:rPr>
        <w:t>U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>mowy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171231" w:rsidRPr="0003637E">
        <w:rPr>
          <w:rFonts w:eastAsia="Times New Roman" w:cstheme="minorHAnsi"/>
          <w:sz w:val="24"/>
          <w:szCs w:val="24"/>
          <w:lang w:val="pl-PL"/>
        </w:rPr>
        <w:t xml:space="preserve">EVFTA 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 xml:space="preserve">może być </w:t>
      </w:r>
      <w:r w:rsidR="00576E75" w:rsidRPr="0003637E">
        <w:rPr>
          <w:rFonts w:eastAsia="Times New Roman" w:cstheme="minorHAnsi"/>
          <w:sz w:val="24"/>
          <w:szCs w:val="24"/>
          <w:lang w:val="pl-PL"/>
        </w:rPr>
        <w:t>przyznane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także 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>towar</w:t>
      </w:r>
      <w:r w:rsidR="00576E75" w:rsidRPr="0003637E">
        <w:rPr>
          <w:rFonts w:eastAsia="Times New Roman" w:cstheme="minorHAnsi"/>
          <w:sz w:val="24"/>
          <w:szCs w:val="24"/>
          <w:lang w:val="pl-PL"/>
        </w:rPr>
        <w:t>om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 xml:space="preserve">, które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w dniu wejścia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jej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w życie znajdują się 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 xml:space="preserve">w jednej ze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Stron,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są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w tranzycie, 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 xml:space="preserve">są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czasow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 xml:space="preserve">o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składowan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>e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w składzie celnym lub w wolny</w:t>
      </w:r>
      <w:r w:rsidRPr="0003637E">
        <w:rPr>
          <w:rFonts w:eastAsia="Times New Roman" w:cstheme="minorHAnsi"/>
          <w:sz w:val="24"/>
          <w:szCs w:val="24"/>
          <w:lang w:val="pl-PL"/>
        </w:rPr>
        <w:t>m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>obszar</w:t>
      </w:r>
      <w:r w:rsidRPr="0003637E">
        <w:rPr>
          <w:rFonts w:eastAsia="Times New Roman" w:cstheme="minorHAnsi"/>
          <w:sz w:val="24"/>
          <w:szCs w:val="24"/>
          <w:lang w:val="pl-PL"/>
        </w:rPr>
        <w:t>ze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celny</w:t>
      </w:r>
      <w:r w:rsidRPr="0003637E">
        <w:rPr>
          <w:rFonts w:eastAsia="Times New Roman" w:cstheme="minorHAnsi"/>
          <w:sz w:val="24"/>
          <w:szCs w:val="24"/>
          <w:lang w:val="pl-PL"/>
        </w:rPr>
        <w:t>m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, pod warunkiem przedłożenia 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 xml:space="preserve">organom celnym </w:t>
      </w:r>
      <w:r w:rsidRPr="0003637E">
        <w:rPr>
          <w:rFonts w:eastAsia="Times New Roman" w:cstheme="minorHAnsi"/>
          <w:sz w:val="24"/>
          <w:szCs w:val="24"/>
          <w:lang w:val="pl-PL"/>
        </w:rPr>
        <w:t>kraju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 xml:space="preserve"> przywozu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dowodu pochodzenia 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>wystawionego retrospektywnie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oraz, na żądanie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tego organu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, 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także 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dowod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>u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>potwierdzającego</w:t>
      </w:r>
      <w:r w:rsidR="00C103F0" w:rsidRPr="0003637E">
        <w:rPr>
          <w:rFonts w:eastAsia="Times New Roman" w:cstheme="minorHAnsi"/>
          <w:sz w:val="24"/>
          <w:szCs w:val="24"/>
          <w:lang w:val="pl-PL"/>
        </w:rPr>
        <w:t>, że towary nie zostały zmienione</w:t>
      </w:r>
      <w:r w:rsidRPr="0003637E">
        <w:rPr>
          <w:rFonts w:eastAsia="Times New Roman" w:cstheme="minorHAnsi"/>
          <w:sz w:val="24"/>
          <w:szCs w:val="24"/>
          <w:lang w:val="pl-PL"/>
        </w:rPr>
        <w:t xml:space="preserve"> - art. 13 (Zasada </w:t>
      </w:r>
      <w:proofErr w:type="spellStart"/>
      <w:r w:rsidRPr="0003637E">
        <w:rPr>
          <w:rFonts w:eastAsia="Times New Roman" w:cstheme="minorHAnsi"/>
          <w:sz w:val="24"/>
          <w:szCs w:val="24"/>
          <w:lang w:val="pl-PL"/>
        </w:rPr>
        <w:t>niemanipulacji</w:t>
      </w:r>
      <w:proofErr w:type="spellEnd"/>
      <w:r w:rsidRPr="0003637E">
        <w:rPr>
          <w:rFonts w:eastAsia="Times New Roman" w:cstheme="minorHAnsi"/>
          <w:sz w:val="24"/>
          <w:szCs w:val="24"/>
          <w:lang w:val="pl-PL"/>
        </w:rPr>
        <w:t>)</w:t>
      </w:r>
      <w:r w:rsidR="004C70C1" w:rsidRPr="0003637E">
        <w:rPr>
          <w:rFonts w:eastAsia="Times New Roman" w:cstheme="minorHAnsi"/>
          <w:sz w:val="24"/>
          <w:szCs w:val="24"/>
          <w:lang w:val="pl-PL"/>
        </w:rPr>
        <w:t>.</w:t>
      </w:r>
    </w:p>
    <w:p w14:paraId="07E325D2" w14:textId="77777777" w:rsidR="00B17770" w:rsidRPr="001A65A7" w:rsidRDefault="00B17770" w:rsidP="004A0D08">
      <w:pPr>
        <w:rPr>
          <w:rFonts w:eastAsia="Times New Roman" w:cstheme="minorHAnsi"/>
          <w:b/>
          <w:sz w:val="24"/>
          <w:szCs w:val="24"/>
          <w:lang w:val="pl-PL"/>
        </w:rPr>
      </w:pPr>
    </w:p>
    <w:p w14:paraId="161738C6" w14:textId="77777777" w:rsidR="00B17770" w:rsidRPr="00033D9A" w:rsidRDefault="004A0D08" w:rsidP="004A0D08">
      <w:pPr>
        <w:rPr>
          <w:rFonts w:eastAsia="Times New Roman" w:cstheme="minorHAnsi"/>
          <w:b/>
          <w:sz w:val="24"/>
          <w:szCs w:val="24"/>
          <w:lang w:val="pl-PL"/>
        </w:rPr>
      </w:pPr>
      <w:r w:rsidRPr="00033D9A">
        <w:rPr>
          <w:rFonts w:eastAsia="Times New Roman" w:cstheme="minorHAnsi"/>
          <w:b/>
          <w:sz w:val="24"/>
          <w:szCs w:val="24"/>
          <w:lang w:val="pl-PL"/>
        </w:rPr>
        <w:lastRenderedPageBreak/>
        <w:t>VI. Użyteczne linki.</w:t>
      </w:r>
    </w:p>
    <w:p w14:paraId="17AD7E1A" w14:textId="5D3BE4B8" w:rsidR="00B17770" w:rsidRPr="00033D9A" w:rsidRDefault="00B17770" w:rsidP="00B17770">
      <w:pPr>
        <w:rPr>
          <w:rFonts w:eastAsia="Times New Roman" w:cstheme="minorHAnsi"/>
          <w:sz w:val="24"/>
          <w:szCs w:val="24"/>
          <w:lang w:val="pl-PL"/>
        </w:rPr>
      </w:pPr>
      <w:r w:rsidRPr="00033D9A">
        <w:rPr>
          <w:rFonts w:eastAsia="Times New Roman" w:cstheme="minorHAnsi"/>
          <w:sz w:val="24"/>
          <w:szCs w:val="24"/>
          <w:lang w:val="pl-PL"/>
        </w:rPr>
        <w:t>Interaktywne narzędzie ROSA (</w:t>
      </w:r>
      <w:proofErr w:type="spellStart"/>
      <w:r w:rsidRPr="00033D9A">
        <w:rPr>
          <w:rFonts w:eastAsia="Times New Roman" w:cstheme="minorHAnsi"/>
          <w:sz w:val="24"/>
          <w:szCs w:val="24"/>
          <w:lang w:val="pl-PL"/>
        </w:rPr>
        <w:t>Rules</w:t>
      </w:r>
      <w:proofErr w:type="spellEnd"/>
      <w:r w:rsidRPr="00033D9A">
        <w:rPr>
          <w:rFonts w:eastAsia="Times New Roman" w:cstheme="minorHAnsi"/>
          <w:sz w:val="24"/>
          <w:szCs w:val="24"/>
          <w:lang w:val="pl-PL"/>
        </w:rPr>
        <w:t xml:space="preserve"> of </w:t>
      </w:r>
      <w:proofErr w:type="spellStart"/>
      <w:r w:rsidRPr="00033D9A">
        <w:rPr>
          <w:rFonts w:eastAsia="Times New Roman" w:cstheme="minorHAnsi"/>
          <w:sz w:val="24"/>
          <w:szCs w:val="24"/>
          <w:lang w:val="pl-PL"/>
        </w:rPr>
        <w:t>Origin</w:t>
      </w:r>
      <w:proofErr w:type="spellEnd"/>
      <w:r w:rsidRPr="00033D9A">
        <w:rPr>
          <w:rFonts w:eastAsia="Times New Roman" w:cstheme="minorHAnsi"/>
          <w:sz w:val="24"/>
          <w:szCs w:val="24"/>
          <w:lang w:val="pl-PL"/>
        </w:rPr>
        <w:t xml:space="preserve"> </w:t>
      </w:r>
      <w:proofErr w:type="spellStart"/>
      <w:r w:rsidRPr="00033D9A">
        <w:rPr>
          <w:rFonts w:eastAsia="Times New Roman" w:cstheme="minorHAnsi"/>
          <w:sz w:val="24"/>
          <w:szCs w:val="24"/>
          <w:lang w:val="pl-PL"/>
        </w:rPr>
        <w:t>Self-Assesment</w:t>
      </w:r>
      <w:proofErr w:type="spellEnd"/>
      <w:r w:rsidRPr="00033D9A">
        <w:rPr>
          <w:rFonts w:eastAsia="Times New Roman" w:cstheme="minorHAnsi"/>
          <w:sz w:val="24"/>
          <w:szCs w:val="24"/>
          <w:lang w:val="pl-PL"/>
        </w:rPr>
        <w:t xml:space="preserve">) służące do samooceny reguł pochodzenia w </w:t>
      </w:r>
      <w:r w:rsidR="00DF6633" w:rsidRPr="00033D9A">
        <w:rPr>
          <w:rFonts w:eastAsia="Times New Roman" w:cstheme="minorHAnsi"/>
          <w:sz w:val="24"/>
          <w:szCs w:val="24"/>
          <w:lang w:val="pl-PL"/>
        </w:rPr>
        <w:t>umowie EVFTA.</w:t>
      </w:r>
    </w:p>
    <w:p w14:paraId="3FFEE718" w14:textId="3D4FA1F3" w:rsidR="004A0D08" w:rsidRDefault="005B404E" w:rsidP="00B17770">
      <w:pPr>
        <w:rPr>
          <w:rFonts w:eastAsia="Times New Roman" w:cstheme="minorHAnsi"/>
          <w:sz w:val="24"/>
          <w:szCs w:val="24"/>
          <w:lang w:val="pl-PL"/>
        </w:rPr>
      </w:pPr>
      <w:hyperlink r:id="rId10" w:history="1">
        <w:r w:rsidR="00033D9A" w:rsidRPr="005A78C3">
          <w:rPr>
            <w:rStyle w:val="Hipercze"/>
            <w:rFonts w:eastAsia="Times New Roman" w:cstheme="minorHAnsi"/>
            <w:sz w:val="24"/>
            <w:szCs w:val="24"/>
            <w:lang w:val="pl-PL"/>
          </w:rPr>
          <w:t>https://trade.ec.europa.eu/access-to-markets/en/content/presenting-rosa</w:t>
        </w:r>
      </w:hyperlink>
    </w:p>
    <w:p w14:paraId="0C4382F2" w14:textId="77777777" w:rsidR="004A0D08" w:rsidRPr="00033D9A" w:rsidRDefault="004A0D08" w:rsidP="0003637E">
      <w:pPr>
        <w:rPr>
          <w:rFonts w:eastAsia="Times New Roman" w:cstheme="minorHAnsi"/>
          <w:sz w:val="24"/>
          <w:szCs w:val="24"/>
          <w:lang w:val="pl-PL"/>
        </w:rPr>
      </w:pPr>
    </w:p>
    <w:sectPr w:rsidR="004A0D08" w:rsidRPr="00033D9A" w:rsidSect="00AE0E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98B51" w14:textId="77777777" w:rsidR="002C37F2" w:rsidRDefault="002C37F2" w:rsidP="001A6C6A">
      <w:pPr>
        <w:spacing w:after="0" w:line="240" w:lineRule="auto"/>
      </w:pPr>
      <w:r>
        <w:separator/>
      </w:r>
    </w:p>
  </w:endnote>
  <w:endnote w:type="continuationSeparator" w:id="0">
    <w:p w14:paraId="0BCA8EE5" w14:textId="77777777" w:rsidR="002C37F2" w:rsidRDefault="002C37F2" w:rsidP="001A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44473" w14:textId="77777777" w:rsidR="002C37F2" w:rsidRDefault="002C37F2" w:rsidP="001A6C6A">
      <w:pPr>
        <w:spacing w:after="0" w:line="240" w:lineRule="auto"/>
      </w:pPr>
      <w:r>
        <w:separator/>
      </w:r>
    </w:p>
  </w:footnote>
  <w:footnote w:type="continuationSeparator" w:id="0">
    <w:p w14:paraId="09CEE027" w14:textId="77777777" w:rsidR="002C37F2" w:rsidRDefault="002C37F2" w:rsidP="001A6C6A">
      <w:pPr>
        <w:spacing w:after="0" w:line="240" w:lineRule="auto"/>
      </w:pPr>
      <w:r>
        <w:continuationSeparator/>
      </w:r>
    </w:p>
  </w:footnote>
  <w:footnote w:id="1">
    <w:p w14:paraId="61490A0D" w14:textId="77777777" w:rsidR="00B4395B" w:rsidRPr="006C33B2" w:rsidRDefault="00B4395B" w:rsidP="00B4395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C33B2">
        <w:rPr>
          <w:lang w:val="pl-PL"/>
        </w:rPr>
        <w:t xml:space="preserve"> Dz. Urz. UE L 207 z 30.6.2020 r. - Ogłoszenie dotyczące daty wejścia w życie Umowy o wolnym handlu między Unią Europejską a Socjalistyczną Republiką Wietnamu</w:t>
      </w:r>
    </w:p>
  </w:footnote>
  <w:footnote w:id="2">
    <w:p w14:paraId="0A3DC4E0" w14:textId="3CC7213A" w:rsidR="001419E1" w:rsidRPr="00004C6B" w:rsidRDefault="001419E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04C6B">
        <w:rPr>
          <w:lang w:val="pl-PL"/>
        </w:rPr>
        <w:t xml:space="preserve"> </w:t>
      </w:r>
      <w:r w:rsidRPr="0064004B">
        <w:rPr>
          <w:lang w:val="pl-PL"/>
        </w:rPr>
        <w:t xml:space="preserve">Rozporządzenie wykonawcze Komisji (UE) 2015/2447 z dnia 24.11.2015 r. ustanawiające szczegółowe zasady wykonania niektórych przepisów rozporządzenia Parlamentu Europejskiego i Rady (UE) nr 952/2013 ustanawiające unijny kodeks celny (Dz. Urz. UE L 343 z 29.12.2015 z </w:t>
      </w:r>
      <w:proofErr w:type="spellStart"/>
      <w:r w:rsidRPr="0064004B">
        <w:rPr>
          <w:lang w:val="pl-PL"/>
        </w:rPr>
        <w:t>późn</w:t>
      </w:r>
      <w:proofErr w:type="spellEnd"/>
      <w:r w:rsidRPr="0064004B">
        <w:rPr>
          <w:lang w:val="pl-PL"/>
        </w:rPr>
        <w:t>. zmianami)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2"/>
      </w:rPr>
    </w:lvl>
  </w:abstractNum>
  <w:abstractNum w:abstractNumId="1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9"/>
    <w:multiLevelType w:val="multilevel"/>
    <w:tmpl w:val="65C46B94"/>
    <w:name w:val="WW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-1080"/>
        </w:tabs>
        <w:ind w:left="36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BB465D"/>
    <w:multiLevelType w:val="hybridMultilevel"/>
    <w:tmpl w:val="8B301B20"/>
    <w:lvl w:ilvl="0" w:tplc="7702113C">
      <w:start w:val="1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02C05"/>
    <w:multiLevelType w:val="hybridMultilevel"/>
    <w:tmpl w:val="15A0FA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14B64"/>
    <w:multiLevelType w:val="hybridMultilevel"/>
    <w:tmpl w:val="17929862"/>
    <w:lvl w:ilvl="0" w:tplc="00FE6C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E1EF2"/>
    <w:multiLevelType w:val="hybridMultilevel"/>
    <w:tmpl w:val="8066481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A652A"/>
    <w:multiLevelType w:val="hybridMultilevel"/>
    <w:tmpl w:val="6E508B0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6394"/>
    <w:multiLevelType w:val="hybridMultilevel"/>
    <w:tmpl w:val="DD92E6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139C"/>
    <w:multiLevelType w:val="hybridMultilevel"/>
    <w:tmpl w:val="A7C47B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F45C3"/>
    <w:multiLevelType w:val="hybridMultilevel"/>
    <w:tmpl w:val="745A30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9310A"/>
    <w:multiLevelType w:val="hybridMultilevel"/>
    <w:tmpl w:val="229E52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239E8"/>
    <w:multiLevelType w:val="hybridMultilevel"/>
    <w:tmpl w:val="ADCE6C58"/>
    <w:lvl w:ilvl="0" w:tplc="C9960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6774B"/>
    <w:multiLevelType w:val="hybridMultilevel"/>
    <w:tmpl w:val="9372E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64FD0"/>
    <w:multiLevelType w:val="hybridMultilevel"/>
    <w:tmpl w:val="337C9D8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12D80"/>
    <w:multiLevelType w:val="hybridMultilevel"/>
    <w:tmpl w:val="779891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02AD2"/>
    <w:multiLevelType w:val="hybridMultilevel"/>
    <w:tmpl w:val="22160A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A0E2A"/>
    <w:multiLevelType w:val="hybridMultilevel"/>
    <w:tmpl w:val="53C40A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50E4A"/>
    <w:multiLevelType w:val="hybridMultilevel"/>
    <w:tmpl w:val="ECC4C7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5668"/>
    <w:multiLevelType w:val="multilevel"/>
    <w:tmpl w:val="3B8A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AF1E7A"/>
    <w:multiLevelType w:val="multilevel"/>
    <w:tmpl w:val="CC6E0F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946159C"/>
    <w:multiLevelType w:val="multilevel"/>
    <w:tmpl w:val="6B16B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A4B47C9"/>
    <w:multiLevelType w:val="hybridMultilevel"/>
    <w:tmpl w:val="62CCBD54"/>
    <w:lvl w:ilvl="0" w:tplc="715C3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64F1E"/>
    <w:multiLevelType w:val="hybridMultilevel"/>
    <w:tmpl w:val="10C49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926DF"/>
    <w:multiLevelType w:val="hybridMultilevel"/>
    <w:tmpl w:val="0934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F5401"/>
    <w:multiLevelType w:val="hybridMultilevel"/>
    <w:tmpl w:val="B718AE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379DC"/>
    <w:multiLevelType w:val="hybridMultilevel"/>
    <w:tmpl w:val="00E254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16697"/>
    <w:multiLevelType w:val="hybridMultilevel"/>
    <w:tmpl w:val="515A43C6"/>
    <w:lvl w:ilvl="0" w:tplc="0415000B">
      <w:start w:val="1"/>
      <w:numFmt w:val="bullet"/>
      <w:lvlText w:val=""/>
      <w:lvlJc w:val="left"/>
      <w:pPr>
        <w:ind w:left="81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23782"/>
    <w:multiLevelType w:val="hybridMultilevel"/>
    <w:tmpl w:val="FAF891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F6C82"/>
    <w:multiLevelType w:val="hybridMultilevel"/>
    <w:tmpl w:val="F40E7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37BE"/>
    <w:multiLevelType w:val="hybridMultilevel"/>
    <w:tmpl w:val="4F26D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F05DD"/>
    <w:multiLevelType w:val="hybridMultilevel"/>
    <w:tmpl w:val="3A68F3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2C7860"/>
    <w:multiLevelType w:val="hybridMultilevel"/>
    <w:tmpl w:val="C38EAB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0472A"/>
    <w:multiLevelType w:val="hybridMultilevel"/>
    <w:tmpl w:val="89286266"/>
    <w:lvl w:ilvl="0" w:tplc="48A08D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524368"/>
    <w:multiLevelType w:val="multilevel"/>
    <w:tmpl w:val="45F069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31"/>
  </w:num>
  <w:num w:numId="4">
    <w:abstractNumId w:val="9"/>
  </w:num>
  <w:num w:numId="5">
    <w:abstractNumId w:val="12"/>
  </w:num>
  <w:num w:numId="6">
    <w:abstractNumId w:val="33"/>
  </w:num>
  <w:num w:numId="7">
    <w:abstractNumId w:val="7"/>
  </w:num>
  <w:num w:numId="8">
    <w:abstractNumId w:val="17"/>
  </w:num>
  <w:num w:numId="9">
    <w:abstractNumId w:val="19"/>
  </w:num>
  <w:num w:numId="10">
    <w:abstractNumId w:val="26"/>
  </w:num>
  <w:num w:numId="11">
    <w:abstractNumId w:val="29"/>
  </w:num>
  <w:num w:numId="12">
    <w:abstractNumId w:val="18"/>
  </w:num>
  <w:num w:numId="13">
    <w:abstractNumId w:val="16"/>
  </w:num>
  <w:num w:numId="14">
    <w:abstractNumId w:val="32"/>
  </w:num>
  <w:num w:numId="15">
    <w:abstractNumId w:val="3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10"/>
  </w:num>
  <w:num w:numId="21">
    <w:abstractNumId w:val="22"/>
  </w:num>
  <w:num w:numId="22">
    <w:abstractNumId w:val="15"/>
  </w:num>
  <w:num w:numId="23">
    <w:abstractNumId w:val="11"/>
  </w:num>
  <w:num w:numId="24">
    <w:abstractNumId w:val="24"/>
  </w:num>
  <w:num w:numId="25">
    <w:abstractNumId w:val="35"/>
  </w:num>
  <w:num w:numId="26">
    <w:abstractNumId w:val="21"/>
  </w:num>
  <w:num w:numId="27">
    <w:abstractNumId w:val="20"/>
  </w:num>
  <w:num w:numId="28">
    <w:abstractNumId w:val="23"/>
  </w:num>
  <w:num w:numId="29">
    <w:abstractNumId w:val="5"/>
  </w:num>
  <w:num w:numId="30">
    <w:abstractNumId w:val="14"/>
  </w:num>
  <w:num w:numId="31">
    <w:abstractNumId w:val="25"/>
  </w:num>
  <w:num w:numId="32">
    <w:abstractNumId w:val="30"/>
  </w:num>
  <w:num w:numId="33">
    <w:abstractNumId w:val="4"/>
  </w:num>
  <w:num w:numId="34">
    <w:abstractNumId w:val="28"/>
  </w:num>
  <w:num w:numId="35">
    <w:abstractNumId w:val="27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751CC"/>
    <w:rsid w:val="00004C6B"/>
    <w:rsid w:val="0000685F"/>
    <w:rsid w:val="00014882"/>
    <w:rsid w:val="0002167F"/>
    <w:rsid w:val="000319AA"/>
    <w:rsid w:val="00031B55"/>
    <w:rsid w:val="00033D9A"/>
    <w:rsid w:val="00034CAE"/>
    <w:rsid w:val="0003637E"/>
    <w:rsid w:val="0004451A"/>
    <w:rsid w:val="00045480"/>
    <w:rsid w:val="00047B09"/>
    <w:rsid w:val="00055504"/>
    <w:rsid w:val="000617E1"/>
    <w:rsid w:val="000643DE"/>
    <w:rsid w:val="00071AAA"/>
    <w:rsid w:val="00074824"/>
    <w:rsid w:val="0007792D"/>
    <w:rsid w:val="00077B66"/>
    <w:rsid w:val="0009036E"/>
    <w:rsid w:val="00091769"/>
    <w:rsid w:val="00094DF9"/>
    <w:rsid w:val="00097A46"/>
    <w:rsid w:val="000A0AA7"/>
    <w:rsid w:val="000A0D7C"/>
    <w:rsid w:val="000A0F50"/>
    <w:rsid w:val="000A2D15"/>
    <w:rsid w:val="000A6991"/>
    <w:rsid w:val="000A6F04"/>
    <w:rsid w:val="000B201D"/>
    <w:rsid w:val="000B5181"/>
    <w:rsid w:val="000C4D0F"/>
    <w:rsid w:val="000D10F7"/>
    <w:rsid w:val="000D1E73"/>
    <w:rsid w:val="000D2130"/>
    <w:rsid w:val="000D2531"/>
    <w:rsid w:val="000D6785"/>
    <w:rsid w:val="000D6814"/>
    <w:rsid w:val="000E0AAD"/>
    <w:rsid w:val="000E20B6"/>
    <w:rsid w:val="000F2632"/>
    <w:rsid w:val="000F5F90"/>
    <w:rsid w:val="000F69E3"/>
    <w:rsid w:val="00102468"/>
    <w:rsid w:val="00104124"/>
    <w:rsid w:val="00110455"/>
    <w:rsid w:val="001150BF"/>
    <w:rsid w:val="00121462"/>
    <w:rsid w:val="0012631A"/>
    <w:rsid w:val="0012784E"/>
    <w:rsid w:val="00127918"/>
    <w:rsid w:val="00130F24"/>
    <w:rsid w:val="00132429"/>
    <w:rsid w:val="00137B25"/>
    <w:rsid w:val="00140470"/>
    <w:rsid w:val="001419E1"/>
    <w:rsid w:val="00146810"/>
    <w:rsid w:val="00151901"/>
    <w:rsid w:val="00165F29"/>
    <w:rsid w:val="00167F8E"/>
    <w:rsid w:val="00171231"/>
    <w:rsid w:val="001817CC"/>
    <w:rsid w:val="00186343"/>
    <w:rsid w:val="001866A3"/>
    <w:rsid w:val="0018736A"/>
    <w:rsid w:val="001877A3"/>
    <w:rsid w:val="00193D44"/>
    <w:rsid w:val="001951A4"/>
    <w:rsid w:val="00197B3A"/>
    <w:rsid w:val="00197D47"/>
    <w:rsid w:val="001A65A7"/>
    <w:rsid w:val="001A6C6A"/>
    <w:rsid w:val="001A7361"/>
    <w:rsid w:val="001A75B5"/>
    <w:rsid w:val="001B25F0"/>
    <w:rsid w:val="001D12AD"/>
    <w:rsid w:val="001D1B18"/>
    <w:rsid w:val="001D39F4"/>
    <w:rsid w:val="001D70C2"/>
    <w:rsid w:val="001D7430"/>
    <w:rsid w:val="001D749E"/>
    <w:rsid w:val="001E0C5C"/>
    <w:rsid w:val="001E3735"/>
    <w:rsid w:val="001E52D7"/>
    <w:rsid w:val="001F1023"/>
    <w:rsid w:val="001F60ED"/>
    <w:rsid w:val="00204162"/>
    <w:rsid w:val="00206A98"/>
    <w:rsid w:val="0021056E"/>
    <w:rsid w:val="0022094B"/>
    <w:rsid w:val="0022215B"/>
    <w:rsid w:val="0022562A"/>
    <w:rsid w:val="00225635"/>
    <w:rsid w:val="002261E4"/>
    <w:rsid w:val="00227BD8"/>
    <w:rsid w:val="00230329"/>
    <w:rsid w:val="00231D17"/>
    <w:rsid w:val="00233859"/>
    <w:rsid w:val="00235B73"/>
    <w:rsid w:val="00236815"/>
    <w:rsid w:val="00241C84"/>
    <w:rsid w:val="0024290A"/>
    <w:rsid w:val="0024497C"/>
    <w:rsid w:val="002517DD"/>
    <w:rsid w:val="00256281"/>
    <w:rsid w:val="002621A8"/>
    <w:rsid w:val="002638F2"/>
    <w:rsid w:val="002663E4"/>
    <w:rsid w:val="00271BF8"/>
    <w:rsid w:val="00272E83"/>
    <w:rsid w:val="00277650"/>
    <w:rsid w:val="00284621"/>
    <w:rsid w:val="00284D70"/>
    <w:rsid w:val="0028505D"/>
    <w:rsid w:val="00286453"/>
    <w:rsid w:val="00291213"/>
    <w:rsid w:val="002978D9"/>
    <w:rsid w:val="002A677A"/>
    <w:rsid w:val="002B3F56"/>
    <w:rsid w:val="002C29C0"/>
    <w:rsid w:val="002C37F2"/>
    <w:rsid w:val="002C790D"/>
    <w:rsid w:val="002C7BC5"/>
    <w:rsid w:val="002E2236"/>
    <w:rsid w:val="003026D7"/>
    <w:rsid w:val="00303101"/>
    <w:rsid w:val="003041CC"/>
    <w:rsid w:val="00311163"/>
    <w:rsid w:val="00313135"/>
    <w:rsid w:val="0031474A"/>
    <w:rsid w:val="00314CB5"/>
    <w:rsid w:val="00315B1D"/>
    <w:rsid w:val="00317CC6"/>
    <w:rsid w:val="00317DAC"/>
    <w:rsid w:val="003204CF"/>
    <w:rsid w:val="003232BF"/>
    <w:rsid w:val="00323BAA"/>
    <w:rsid w:val="00327961"/>
    <w:rsid w:val="00330C3B"/>
    <w:rsid w:val="0033192A"/>
    <w:rsid w:val="003320A9"/>
    <w:rsid w:val="00337FC8"/>
    <w:rsid w:val="00344FD6"/>
    <w:rsid w:val="003454C4"/>
    <w:rsid w:val="00345CBC"/>
    <w:rsid w:val="00347FDE"/>
    <w:rsid w:val="00356F68"/>
    <w:rsid w:val="00363305"/>
    <w:rsid w:val="00365616"/>
    <w:rsid w:val="003667AC"/>
    <w:rsid w:val="00383E6E"/>
    <w:rsid w:val="00385FEF"/>
    <w:rsid w:val="00387177"/>
    <w:rsid w:val="00387DC1"/>
    <w:rsid w:val="00390564"/>
    <w:rsid w:val="003B1DC0"/>
    <w:rsid w:val="003C0122"/>
    <w:rsid w:val="003C2C14"/>
    <w:rsid w:val="003C49D3"/>
    <w:rsid w:val="003C4FA3"/>
    <w:rsid w:val="003D0461"/>
    <w:rsid w:val="003D116F"/>
    <w:rsid w:val="003D3626"/>
    <w:rsid w:val="003D46B5"/>
    <w:rsid w:val="003D768F"/>
    <w:rsid w:val="003E0288"/>
    <w:rsid w:val="003E3ABB"/>
    <w:rsid w:val="003F22B7"/>
    <w:rsid w:val="003F7390"/>
    <w:rsid w:val="00402635"/>
    <w:rsid w:val="00405D3A"/>
    <w:rsid w:val="00414BA9"/>
    <w:rsid w:val="00416DC9"/>
    <w:rsid w:val="00417FB7"/>
    <w:rsid w:val="00421D7E"/>
    <w:rsid w:val="004361A0"/>
    <w:rsid w:val="00437932"/>
    <w:rsid w:val="00443E2E"/>
    <w:rsid w:val="004718EC"/>
    <w:rsid w:val="004755C6"/>
    <w:rsid w:val="004776AD"/>
    <w:rsid w:val="00483AB3"/>
    <w:rsid w:val="00490106"/>
    <w:rsid w:val="00490DB3"/>
    <w:rsid w:val="00492E22"/>
    <w:rsid w:val="00496CD4"/>
    <w:rsid w:val="004A0D08"/>
    <w:rsid w:val="004A15EC"/>
    <w:rsid w:val="004A1688"/>
    <w:rsid w:val="004A321B"/>
    <w:rsid w:val="004A57E8"/>
    <w:rsid w:val="004B58BE"/>
    <w:rsid w:val="004B623A"/>
    <w:rsid w:val="004B774D"/>
    <w:rsid w:val="004C70C1"/>
    <w:rsid w:val="004D2D81"/>
    <w:rsid w:val="004D615E"/>
    <w:rsid w:val="004D64A3"/>
    <w:rsid w:val="004E21E3"/>
    <w:rsid w:val="004E35BD"/>
    <w:rsid w:val="004E6EBB"/>
    <w:rsid w:val="004E7D8E"/>
    <w:rsid w:val="004F3196"/>
    <w:rsid w:val="004F5085"/>
    <w:rsid w:val="004F67F5"/>
    <w:rsid w:val="00503222"/>
    <w:rsid w:val="00504DB3"/>
    <w:rsid w:val="00506CC0"/>
    <w:rsid w:val="005112D9"/>
    <w:rsid w:val="0051611A"/>
    <w:rsid w:val="00520B10"/>
    <w:rsid w:val="0052360C"/>
    <w:rsid w:val="00524535"/>
    <w:rsid w:val="00531B26"/>
    <w:rsid w:val="00544FB7"/>
    <w:rsid w:val="00551FE8"/>
    <w:rsid w:val="00555053"/>
    <w:rsid w:val="00555DCB"/>
    <w:rsid w:val="005612D4"/>
    <w:rsid w:val="00575A74"/>
    <w:rsid w:val="00576E75"/>
    <w:rsid w:val="0058195A"/>
    <w:rsid w:val="0059080D"/>
    <w:rsid w:val="005954C0"/>
    <w:rsid w:val="00597676"/>
    <w:rsid w:val="005A4C9B"/>
    <w:rsid w:val="005B2D27"/>
    <w:rsid w:val="005B404E"/>
    <w:rsid w:val="005B7FE0"/>
    <w:rsid w:val="005C0C33"/>
    <w:rsid w:val="005C5FF2"/>
    <w:rsid w:val="005C7E6A"/>
    <w:rsid w:val="005C7EC3"/>
    <w:rsid w:val="005D0B38"/>
    <w:rsid w:val="005D1DE0"/>
    <w:rsid w:val="005D2EB5"/>
    <w:rsid w:val="005D4F5C"/>
    <w:rsid w:val="005E33E1"/>
    <w:rsid w:val="005E3C55"/>
    <w:rsid w:val="005E56C9"/>
    <w:rsid w:val="005F022A"/>
    <w:rsid w:val="00600379"/>
    <w:rsid w:val="006013C8"/>
    <w:rsid w:val="0060196F"/>
    <w:rsid w:val="00603AFD"/>
    <w:rsid w:val="00604595"/>
    <w:rsid w:val="0061449E"/>
    <w:rsid w:val="00614554"/>
    <w:rsid w:val="00615A3E"/>
    <w:rsid w:val="00617F6E"/>
    <w:rsid w:val="00622716"/>
    <w:rsid w:val="00624A8D"/>
    <w:rsid w:val="0062722A"/>
    <w:rsid w:val="006276DB"/>
    <w:rsid w:val="00627C02"/>
    <w:rsid w:val="00627E67"/>
    <w:rsid w:val="006320F1"/>
    <w:rsid w:val="00632351"/>
    <w:rsid w:val="00635177"/>
    <w:rsid w:val="00636A48"/>
    <w:rsid w:val="00637642"/>
    <w:rsid w:val="0064004B"/>
    <w:rsid w:val="006404A9"/>
    <w:rsid w:val="00640502"/>
    <w:rsid w:val="0064358A"/>
    <w:rsid w:val="00651CF5"/>
    <w:rsid w:val="00652122"/>
    <w:rsid w:val="00660B64"/>
    <w:rsid w:val="0066440A"/>
    <w:rsid w:val="0066522C"/>
    <w:rsid w:val="00675830"/>
    <w:rsid w:val="00675C49"/>
    <w:rsid w:val="00677410"/>
    <w:rsid w:val="006774E5"/>
    <w:rsid w:val="00682B46"/>
    <w:rsid w:val="006834FE"/>
    <w:rsid w:val="00683C15"/>
    <w:rsid w:val="0068648A"/>
    <w:rsid w:val="00690A0F"/>
    <w:rsid w:val="00690D61"/>
    <w:rsid w:val="0069375C"/>
    <w:rsid w:val="006A1C1C"/>
    <w:rsid w:val="006B227B"/>
    <w:rsid w:val="006B38FB"/>
    <w:rsid w:val="006B6F80"/>
    <w:rsid w:val="006C33B2"/>
    <w:rsid w:val="006C6656"/>
    <w:rsid w:val="006D2930"/>
    <w:rsid w:val="006E0FCA"/>
    <w:rsid w:val="006E1969"/>
    <w:rsid w:val="006E508D"/>
    <w:rsid w:val="006E7555"/>
    <w:rsid w:val="006F3AC6"/>
    <w:rsid w:val="006F5DE1"/>
    <w:rsid w:val="007014C2"/>
    <w:rsid w:val="00707D0B"/>
    <w:rsid w:val="00712A4A"/>
    <w:rsid w:val="00712EB2"/>
    <w:rsid w:val="0072044F"/>
    <w:rsid w:val="0072247C"/>
    <w:rsid w:val="0072602A"/>
    <w:rsid w:val="00727C10"/>
    <w:rsid w:val="00732389"/>
    <w:rsid w:val="007334A6"/>
    <w:rsid w:val="007417F1"/>
    <w:rsid w:val="00741B3B"/>
    <w:rsid w:val="00751D5D"/>
    <w:rsid w:val="00752C27"/>
    <w:rsid w:val="007537BA"/>
    <w:rsid w:val="0075437D"/>
    <w:rsid w:val="00760A9E"/>
    <w:rsid w:val="00761959"/>
    <w:rsid w:val="00767A79"/>
    <w:rsid w:val="00770726"/>
    <w:rsid w:val="0077237A"/>
    <w:rsid w:val="00773BF8"/>
    <w:rsid w:val="00775425"/>
    <w:rsid w:val="007769F6"/>
    <w:rsid w:val="00777FB6"/>
    <w:rsid w:val="00781469"/>
    <w:rsid w:val="007816A7"/>
    <w:rsid w:val="00786886"/>
    <w:rsid w:val="00787943"/>
    <w:rsid w:val="00790700"/>
    <w:rsid w:val="00792DE7"/>
    <w:rsid w:val="00794396"/>
    <w:rsid w:val="00794C70"/>
    <w:rsid w:val="007A2B48"/>
    <w:rsid w:val="007A5AB4"/>
    <w:rsid w:val="007B0B0D"/>
    <w:rsid w:val="007C280E"/>
    <w:rsid w:val="007D2110"/>
    <w:rsid w:val="007D2742"/>
    <w:rsid w:val="007D4114"/>
    <w:rsid w:val="007D6FB3"/>
    <w:rsid w:val="007F162C"/>
    <w:rsid w:val="007F2068"/>
    <w:rsid w:val="007F497A"/>
    <w:rsid w:val="007F6245"/>
    <w:rsid w:val="00800B39"/>
    <w:rsid w:val="00806D40"/>
    <w:rsid w:val="00816D2D"/>
    <w:rsid w:val="00820389"/>
    <w:rsid w:val="00825EF0"/>
    <w:rsid w:val="00830168"/>
    <w:rsid w:val="008347FA"/>
    <w:rsid w:val="0083588E"/>
    <w:rsid w:val="0084080D"/>
    <w:rsid w:val="00840E6C"/>
    <w:rsid w:val="00844EB3"/>
    <w:rsid w:val="00846BAB"/>
    <w:rsid w:val="0085620F"/>
    <w:rsid w:val="00856DE5"/>
    <w:rsid w:val="00857C62"/>
    <w:rsid w:val="00857CF5"/>
    <w:rsid w:val="0086664A"/>
    <w:rsid w:val="00887CC6"/>
    <w:rsid w:val="008951A5"/>
    <w:rsid w:val="0089694F"/>
    <w:rsid w:val="00896B66"/>
    <w:rsid w:val="00897055"/>
    <w:rsid w:val="008A011A"/>
    <w:rsid w:val="008B3F89"/>
    <w:rsid w:val="008C5D72"/>
    <w:rsid w:val="008D4D93"/>
    <w:rsid w:val="008D63D3"/>
    <w:rsid w:val="008D72CE"/>
    <w:rsid w:val="008D74D9"/>
    <w:rsid w:val="008E076B"/>
    <w:rsid w:val="008E7075"/>
    <w:rsid w:val="008F0DD8"/>
    <w:rsid w:val="008F592F"/>
    <w:rsid w:val="009019F7"/>
    <w:rsid w:val="009050D6"/>
    <w:rsid w:val="009107AC"/>
    <w:rsid w:val="009166DD"/>
    <w:rsid w:val="009215E5"/>
    <w:rsid w:val="00921E86"/>
    <w:rsid w:val="00926305"/>
    <w:rsid w:val="00927421"/>
    <w:rsid w:val="009336BD"/>
    <w:rsid w:val="00935448"/>
    <w:rsid w:val="00942278"/>
    <w:rsid w:val="009435F2"/>
    <w:rsid w:val="00943A88"/>
    <w:rsid w:val="009502ED"/>
    <w:rsid w:val="0096064E"/>
    <w:rsid w:val="00963100"/>
    <w:rsid w:val="00963149"/>
    <w:rsid w:val="00963258"/>
    <w:rsid w:val="009634D5"/>
    <w:rsid w:val="00964FA2"/>
    <w:rsid w:val="0096594F"/>
    <w:rsid w:val="00972158"/>
    <w:rsid w:val="009751CC"/>
    <w:rsid w:val="00975F7B"/>
    <w:rsid w:val="00980D57"/>
    <w:rsid w:val="00982DDD"/>
    <w:rsid w:val="009840D3"/>
    <w:rsid w:val="00984A30"/>
    <w:rsid w:val="009852E4"/>
    <w:rsid w:val="00985898"/>
    <w:rsid w:val="00991D44"/>
    <w:rsid w:val="009929CD"/>
    <w:rsid w:val="00992A22"/>
    <w:rsid w:val="009935F5"/>
    <w:rsid w:val="009A4775"/>
    <w:rsid w:val="009B43BF"/>
    <w:rsid w:val="009B44A4"/>
    <w:rsid w:val="009B44CD"/>
    <w:rsid w:val="009C1425"/>
    <w:rsid w:val="009C16B1"/>
    <w:rsid w:val="009C34E9"/>
    <w:rsid w:val="009C4717"/>
    <w:rsid w:val="009D0380"/>
    <w:rsid w:val="009D065C"/>
    <w:rsid w:val="009D0D0C"/>
    <w:rsid w:val="009D1D14"/>
    <w:rsid w:val="009D320F"/>
    <w:rsid w:val="009E03D6"/>
    <w:rsid w:val="009E1AC6"/>
    <w:rsid w:val="009E6F41"/>
    <w:rsid w:val="009F00E6"/>
    <w:rsid w:val="009F1468"/>
    <w:rsid w:val="009F411D"/>
    <w:rsid w:val="009F6E64"/>
    <w:rsid w:val="009F7444"/>
    <w:rsid w:val="00A00134"/>
    <w:rsid w:val="00A023AE"/>
    <w:rsid w:val="00A04B42"/>
    <w:rsid w:val="00A17CAD"/>
    <w:rsid w:val="00A201A0"/>
    <w:rsid w:val="00A21477"/>
    <w:rsid w:val="00A27D3D"/>
    <w:rsid w:val="00A31834"/>
    <w:rsid w:val="00A4626C"/>
    <w:rsid w:val="00A50749"/>
    <w:rsid w:val="00A5078D"/>
    <w:rsid w:val="00A5376D"/>
    <w:rsid w:val="00A6007F"/>
    <w:rsid w:val="00A66E98"/>
    <w:rsid w:val="00A704D4"/>
    <w:rsid w:val="00A7438A"/>
    <w:rsid w:val="00A84FF6"/>
    <w:rsid w:val="00A90E1C"/>
    <w:rsid w:val="00A94115"/>
    <w:rsid w:val="00A94214"/>
    <w:rsid w:val="00A94A85"/>
    <w:rsid w:val="00A94BDB"/>
    <w:rsid w:val="00AA1159"/>
    <w:rsid w:val="00AA1A38"/>
    <w:rsid w:val="00AB10C6"/>
    <w:rsid w:val="00AB3CC2"/>
    <w:rsid w:val="00AC148A"/>
    <w:rsid w:val="00AE0E30"/>
    <w:rsid w:val="00AE55CC"/>
    <w:rsid w:val="00AF0A51"/>
    <w:rsid w:val="00AF40BA"/>
    <w:rsid w:val="00AF5BC1"/>
    <w:rsid w:val="00AF5CED"/>
    <w:rsid w:val="00B00B06"/>
    <w:rsid w:val="00B01A12"/>
    <w:rsid w:val="00B079A0"/>
    <w:rsid w:val="00B14B86"/>
    <w:rsid w:val="00B172F9"/>
    <w:rsid w:val="00B175DF"/>
    <w:rsid w:val="00B17770"/>
    <w:rsid w:val="00B2133D"/>
    <w:rsid w:val="00B432CC"/>
    <w:rsid w:val="00B4395B"/>
    <w:rsid w:val="00B44584"/>
    <w:rsid w:val="00B50218"/>
    <w:rsid w:val="00B5499B"/>
    <w:rsid w:val="00B579B8"/>
    <w:rsid w:val="00B6196D"/>
    <w:rsid w:val="00B627B7"/>
    <w:rsid w:val="00B62A33"/>
    <w:rsid w:val="00B70600"/>
    <w:rsid w:val="00B736C5"/>
    <w:rsid w:val="00B755AB"/>
    <w:rsid w:val="00B77308"/>
    <w:rsid w:val="00B77450"/>
    <w:rsid w:val="00B81D28"/>
    <w:rsid w:val="00B824DA"/>
    <w:rsid w:val="00B84B7A"/>
    <w:rsid w:val="00B85D54"/>
    <w:rsid w:val="00B85DAE"/>
    <w:rsid w:val="00B86F18"/>
    <w:rsid w:val="00B87CF6"/>
    <w:rsid w:val="00B91E85"/>
    <w:rsid w:val="00B92171"/>
    <w:rsid w:val="00B92623"/>
    <w:rsid w:val="00B9456F"/>
    <w:rsid w:val="00B94660"/>
    <w:rsid w:val="00B94B59"/>
    <w:rsid w:val="00B95F4B"/>
    <w:rsid w:val="00BA0C50"/>
    <w:rsid w:val="00BA1F37"/>
    <w:rsid w:val="00BA4962"/>
    <w:rsid w:val="00BB14B4"/>
    <w:rsid w:val="00BB5162"/>
    <w:rsid w:val="00BB7184"/>
    <w:rsid w:val="00BC034F"/>
    <w:rsid w:val="00BC1A87"/>
    <w:rsid w:val="00BC46C9"/>
    <w:rsid w:val="00BD5558"/>
    <w:rsid w:val="00BD5B1A"/>
    <w:rsid w:val="00BD612E"/>
    <w:rsid w:val="00BE594E"/>
    <w:rsid w:val="00BF6C37"/>
    <w:rsid w:val="00C007D7"/>
    <w:rsid w:val="00C012AC"/>
    <w:rsid w:val="00C05709"/>
    <w:rsid w:val="00C103F0"/>
    <w:rsid w:val="00C110D5"/>
    <w:rsid w:val="00C15533"/>
    <w:rsid w:val="00C1622A"/>
    <w:rsid w:val="00C17ACA"/>
    <w:rsid w:val="00C23D3B"/>
    <w:rsid w:val="00C24E34"/>
    <w:rsid w:val="00C25CCE"/>
    <w:rsid w:val="00C317C2"/>
    <w:rsid w:val="00C3287E"/>
    <w:rsid w:val="00C347B7"/>
    <w:rsid w:val="00C35BF1"/>
    <w:rsid w:val="00C37C66"/>
    <w:rsid w:val="00C42D60"/>
    <w:rsid w:val="00C44675"/>
    <w:rsid w:val="00C455AB"/>
    <w:rsid w:val="00C51002"/>
    <w:rsid w:val="00C510C3"/>
    <w:rsid w:val="00C51688"/>
    <w:rsid w:val="00C516F1"/>
    <w:rsid w:val="00C57880"/>
    <w:rsid w:val="00C61125"/>
    <w:rsid w:val="00C71C61"/>
    <w:rsid w:val="00C72813"/>
    <w:rsid w:val="00C72CB5"/>
    <w:rsid w:val="00C77A38"/>
    <w:rsid w:val="00C84A9C"/>
    <w:rsid w:val="00C858D2"/>
    <w:rsid w:val="00C85E07"/>
    <w:rsid w:val="00C907C0"/>
    <w:rsid w:val="00C908D4"/>
    <w:rsid w:val="00C932E5"/>
    <w:rsid w:val="00C9491D"/>
    <w:rsid w:val="00C9799E"/>
    <w:rsid w:val="00CA0658"/>
    <w:rsid w:val="00CA2FA1"/>
    <w:rsid w:val="00CA3992"/>
    <w:rsid w:val="00CC2FCA"/>
    <w:rsid w:val="00CC3B36"/>
    <w:rsid w:val="00CC51CA"/>
    <w:rsid w:val="00CD04D9"/>
    <w:rsid w:val="00CD235B"/>
    <w:rsid w:val="00CD4002"/>
    <w:rsid w:val="00CD6B4C"/>
    <w:rsid w:val="00CE2187"/>
    <w:rsid w:val="00CE273C"/>
    <w:rsid w:val="00CE5565"/>
    <w:rsid w:val="00D1516C"/>
    <w:rsid w:val="00D27B9B"/>
    <w:rsid w:val="00D30EE0"/>
    <w:rsid w:val="00D35D9F"/>
    <w:rsid w:val="00D37FC8"/>
    <w:rsid w:val="00D418C6"/>
    <w:rsid w:val="00D43987"/>
    <w:rsid w:val="00D443A8"/>
    <w:rsid w:val="00D50C9D"/>
    <w:rsid w:val="00D51F47"/>
    <w:rsid w:val="00D52380"/>
    <w:rsid w:val="00D5255B"/>
    <w:rsid w:val="00D57467"/>
    <w:rsid w:val="00D72505"/>
    <w:rsid w:val="00D72E94"/>
    <w:rsid w:val="00D74743"/>
    <w:rsid w:val="00D77089"/>
    <w:rsid w:val="00D83DFF"/>
    <w:rsid w:val="00D85D0E"/>
    <w:rsid w:val="00D93CC2"/>
    <w:rsid w:val="00D9753A"/>
    <w:rsid w:val="00DA131C"/>
    <w:rsid w:val="00DA7BC9"/>
    <w:rsid w:val="00DB1267"/>
    <w:rsid w:val="00DB486D"/>
    <w:rsid w:val="00DC05FF"/>
    <w:rsid w:val="00DC76EC"/>
    <w:rsid w:val="00DD6E79"/>
    <w:rsid w:val="00DE02C8"/>
    <w:rsid w:val="00DF1A8B"/>
    <w:rsid w:val="00DF246B"/>
    <w:rsid w:val="00DF2E11"/>
    <w:rsid w:val="00DF49AE"/>
    <w:rsid w:val="00DF6633"/>
    <w:rsid w:val="00DF6B93"/>
    <w:rsid w:val="00E00DC3"/>
    <w:rsid w:val="00E0135C"/>
    <w:rsid w:val="00E10B7F"/>
    <w:rsid w:val="00E13163"/>
    <w:rsid w:val="00E15B85"/>
    <w:rsid w:val="00E339C5"/>
    <w:rsid w:val="00E33CEC"/>
    <w:rsid w:val="00E4705C"/>
    <w:rsid w:val="00E56724"/>
    <w:rsid w:val="00E575FD"/>
    <w:rsid w:val="00E62966"/>
    <w:rsid w:val="00E64729"/>
    <w:rsid w:val="00E66BEE"/>
    <w:rsid w:val="00E71397"/>
    <w:rsid w:val="00E7347E"/>
    <w:rsid w:val="00E81F0F"/>
    <w:rsid w:val="00E84596"/>
    <w:rsid w:val="00E96D41"/>
    <w:rsid w:val="00EA2D84"/>
    <w:rsid w:val="00EA6416"/>
    <w:rsid w:val="00EB11A1"/>
    <w:rsid w:val="00EB60E3"/>
    <w:rsid w:val="00EB7DEB"/>
    <w:rsid w:val="00EC2270"/>
    <w:rsid w:val="00EC2430"/>
    <w:rsid w:val="00ED633B"/>
    <w:rsid w:val="00EE1771"/>
    <w:rsid w:val="00EE1AD3"/>
    <w:rsid w:val="00EE27CE"/>
    <w:rsid w:val="00EE297C"/>
    <w:rsid w:val="00EF0BE5"/>
    <w:rsid w:val="00EF2D2C"/>
    <w:rsid w:val="00EF64F2"/>
    <w:rsid w:val="00EF7940"/>
    <w:rsid w:val="00F01029"/>
    <w:rsid w:val="00F061E2"/>
    <w:rsid w:val="00F1189A"/>
    <w:rsid w:val="00F1445B"/>
    <w:rsid w:val="00F157F6"/>
    <w:rsid w:val="00F275DB"/>
    <w:rsid w:val="00F32AB1"/>
    <w:rsid w:val="00F42040"/>
    <w:rsid w:val="00F47EEC"/>
    <w:rsid w:val="00F54380"/>
    <w:rsid w:val="00F6224D"/>
    <w:rsid w:val="00F63D62"/>
    <w:rsid w:val="00F67B13"/>
    <w:rsid w:val="00F742D3"/>
    <w:rsid w:val="00F74718"/>
    <w:rsid w:val="00F77428"/>
    <w:rsid w:val="00F862B4"/>
    <w:rsid w:val="00F86A65"/>
    <w:rsid w:val="00F943CF"/>
    <w:rsid w:val="00F95261"/>
    <w:rsid w:val="00F977E7"/>
    <w:rsid w:val="00FA039B"/>
    <w:rsid w:val="00FA08A9"/>
    <w:rsid w:val="00FA1F63"/>
    <w:rsid w:val="00FA2B91"/>
    <w:rsid w:val="00FA591A"/>
    <w:rsid w:val="00FA5A2D"/>
    <w:rsid w:val="00FB34A2"/>
    <w:rsid w:val="00FB3663"/>
    <w:rsid w:val="00FC3B4B"/>
    <w:rsid w:val="00FC6092"/>
    <w:rsid w:val="00FC7F76"/>
    <w:rsid w:val="00FD62ED"/>
    <w:rsid w:val="00FE0919"/>
    <w:rsid w:val="00FE4AF4"/>
    <w:rsid w:val="00FE6738"/>
    <w:rsid w:val="00FF31CA"/>
    <w:rsid w:val="00FF4BF7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D9F9"/>
  <w15:docId w15:val="{D594616C-481A-4C35-8AE4-3D4745B7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BC9"/>
  </w:style>
  <w:style w:type="paragraph" w:styleId="Nagwek1">
    <w:name w:val="heading 1"/>
    <w:basedOn w:val="Normalny"/>
    <w:next w:val="Normalny"/>
    <w:link w:val="Nagwek1Znak"/>
    <w:uiPriority w:val="9"/>
    <w:qFormat/>
    <w:rsid w:val="00BE5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tedebasdepage">
    <w:name w:val="Note de bas de page"/>
    <w:basedOn w:val="Normalny"/>
    <w:rsid w:val="001A6C6A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val="sv-SE" w:eastAsia="sv-S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C6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E5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E594E"/>
    <w:pPr>
      <w:outlineLvl w:val="9"/>
    </w:pPr>
    <w:rPr>
      <w:lang w:eastAsia="ja-JP"/>
    </w:rPr>
  </w:style>
  <w:style w:type="paragraph" w:styleId="Spistreci1">
    <w:name w:val="toc 1"/>
    <w:basedOn w:val="Normalny"/>
    <w:next w:val="Normalny"/>
    <w:autoRedefine/>
    <w:uiPriority w:val="39"/>
    <w:unhideWhenUsed/>
    <w:rsid w:val="00BE594E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E594E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C51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C51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1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C51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1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1C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C51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943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17DA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21E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7E1"/>
  </w:style>
  <w:style w:type="paragraph" w:styleId="Stopka">
    <w:name w:val="footer"/>
    <w:basedOn w:val="Normalny"/>
    <w:link w:val="StopkaZnak"/>
    <w:uiPriority w:val="99"/>
    <w:unhideWhenUsed/>
    <w:rsid w:val="0006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7E1"/>
  </w:style>
  <w:style w:type="character" w:customStyle="1" w:styleId="Notedebasdepage0">
    <w:name w:val="Note de bas de page_"/>
    <w:rsid w:val="00074824"/>
    <w:rPr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7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7C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7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rade.ec.europa.eu/access-to-markets/en/content/presenting-ros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0F9B-AAC5-4110-A645-35603915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2899</Words>
  <Characters>17400</Characters>
  <Application>Microsoft Office Word</Application>
  <DocSecurity>4</DocSecurity>
  <Lines>145</Lines>
  <Paragraphs>40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2017-08-09T14:00:00Z</cp:lastPrinted>
  <dcterms:created xsi:type="dcterms:W3CDTF">2021-12-02T07:14:00Z</dcterms:created>
  <dcterms:modified xsi:type="dcterms:W3CDTF">2021-12-02T07:14:00Z</dcterms:modified>
</cp:coreProperties>
</file>