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AD" w:rsidRPr="00C7631D" w:rsidRDefault="00C7631D" w:rsidP="007C55AD">
      <w:pPr>
        <w:jc w:val="both"/>
        <w:rPr>
          <w:rFonts w:ascii="Times New Roman" w:hAnsi="Times New Roman"/>
          <w:b/>
          <w:sz w:val="28"/>
          <w:szCs w:val="28"/>
        </w:rPr>
      </w:pPr>
      <w:r>
        <w:rPr>
          <w:rFonts w:ascii="Times New Roman" w:hAnsi="Times New Roman"/>
          <w:b/>
          <w:sz w:val="28"/>
          <w:szCs w:val="28"/>
        </w:rPr>
        <w:t>Informacja</w:t>
      </w:r>
      <w:r w:rsidR="007C55AD" w:rsidRPr="00C7631D">
        <w:rPr>
          <w:rFonts w:ascii="Times New Roman" w:hAnsi="Times New Roman"/>
          <w:b/>
          <w:sz w:val="28"/>
          <w:szCs w:val="28"/>
        </w:rPr>
        <w:t xml:space="preserve"> w zakresie real</w:t>
      </w:r>
      <w:r w:rsidRPr="00C7631D">
        <w:rPr>
          <w:rFonts w:ascii="Times New Roman" w:hAnsi="Times New Roman"/>
          <w:b/>
          <w:sz w:val="28"/>
          <w:szCs w:val="28"/>
        </w:rPr>
        <w:t>izacji procedury wywozu związana</w:t>
      </w:r>
      <w:r w:rsidR="007C55AD" w:rsidRPr="00C7631D">
        <w:rPr>
          <w:rFonts w:ascii="Times New Roman" w:hAnsi="Times New Roman"/>
          <w:b/>
          <w:sz w:val="28"/>
          <w:szCs w:val="28"/>
        </w:rPr>
        <w:t xml:space="preserve"> z </w:t>
      </w:r>
      <w:r w:rsidRPr="00C7631D">
        <w:rPr>
          <w:rFonts w:ascii="Times New Roman" w:hAnsi="Times New Roman"/>
          <w:b/>
          <w:sz w:val="28"/>
          <w:szCs w:val="28"/>
        </w:rPr>
        <w:t>BREXIT.</w:t>
      </w:r>
    </w:p>
    <w:p w:rsidR="007C55AD" w:rsidRDefault="007C55AD" w:rsidP="007C55AD">
      <w:pPr>
        <w:jc w:val="both"/>
        <w:rPr>
          <w:rFonts w:ascii="Times New Roman" w:hAnsi="Times New Roman"/>
        </w:rPr>
      </w:pPr>
    </w:p>
    <w:p w:rsidR="007C55AD" w:rsidRDefault="007C55AD" w:rsidP="007C55AD">
      <w:pPr>
        <w:jc w:val="both"/>
        <w:rPr>
          <w:rFonts w:ascii="Times New Roman" w:hAnsi="Times New Roman"/>
        </w:rPr>
      </w:pPr>
      <w:r>
        <w:rPr>
          <w:rFonts w:ascii="Times New Roman" w:hAnsi="Times New Roman"/>
        </w:rPr>
        <w:t xml:space="preserve"> </w:t>
      </w:r>
    </w:p>
    <w:p w:rsidR="002C7B4B" w:rsidRDefault="00D31A33" w:rsidP="002C7B4B">
      <w:pPr>
        <w:jc w:val="both"/>
        <w:rPr>
          <w:rFonts w:ascii="Times New Roman" w:hAnsi="Times New Roman"/>
        </w:rPr>
      </w:pPr>
      <w:r>
        <w:rPr>
          <w:rFonts w:ascii="Times New Roman" w:hAnsi="Times New Roman"/>
        </w:rPr>
        <w:t>Z</w:t>
      </w:r>
      <w:r w:rsidR="002C7B4B">
        <w:rPr>
          <w:rFonts w:ascii="Times New Roman" w:hAnsi="Times New Roman"/>
        </w:rPr>
        <w:t xml:space="preserve"> dniem </w:t>
      </w:r>
      <w:r w:rsidR="002C7B4B" w:rsidRPr="002C7B4B">
        <w:rPr>
          <w:rFonts w:ascii="Times New Roman" w:hAnsi="Times New Roman"/>
        </w:rPr>
        <w:t xml:space="preserve">1.02.2020 </w:t>
      </w:r>
      <w:r w:rsidR="00351EA2">
        <w:rPr>
          <w:rFonts w:ascii="Times New Roman" w:hAnsi="Times New Roman"/>
        </w:rPr>
        <w:t xml:space="preserve">r. </w:t>
      </w:r>
      <w:r w:rsidR="002C7B4B" w:rsidRPr="002C7B4B">
        <w:rPr>
          <w:rFonts w:ascii="Times New Roman" w:hAnsi="Times New Roman"/>
        </w:rPr>
        <w:t>Zjednoczone Królestwo Wielkiej Brytanii i Irlandii Północnej</w:t>
      </w:r>
      <w:r w:rsidR="002C7B4B">
        <w:rPr>
          <w:rFonts w:ascii="Times New Roman" w:hAnsi="Times New Roman"/>
        </w:rPr>
        <w:t xml:space="preserve">, zwane dalej Zjednoczonym Królestwem, </w:t>
      </w:r>
      <w:r w:rsidR="002C7B4B" w:rsidRPr="002C7B4B">
        <w:rPr>
          <w:rFonts w:ascii="Times New Roman" w:hAnsi="Times New Roman"/>
        </w:rPr>
        <w:t>wystąpiło z Unii Europejskiej (UE) i stało się „państwem trzecim”</w:t>
      </w:r>
      <w:r w:rsidR="002C7B4B">
        <w:rPr>
          <w:rFonts w:ascii="Times New Roman" w:hAnsi="Times New Roman"/>
        </w:rPr>
        <w:t xml:space="preserve">, lecz na mocy </w:t>
      </w:r>
      <w:r w:rsidR="002C7B4B" w:rsidRPr="002C7B4B">
        <w:rPr>
          <w:rFonts w:ascii="Times New Roman" w:hAnsi="Times New Roman"/>
        </w:rPr>
        <w:t>Umowy o wystąpieniu Zjednoczonego Królestwa Wielkiej Brytanii i Irlandii Północnej z Unii Europejskiej i Europejskiej Wspólnoty Energii Atomowej (Dz. Urz. L z 31.01.2020 L 29)</w:t>
      </w:r>
      <w:r w:rsidR="00757356">
        <w:rPr>
          <w:rFonts w:ascii="Times New Roman" w:hAnsi="Times New Roman"/>
        </w:rPr>
        <w:t xml:space="preserve">, zwanej dalej Umową o wystąpieniu, </w:t>
      </w:r>
      <w:r w:rsidR="002C7B4B" w:rsidRPr="002C7B4B">
        <w:rPr>
          <w:rFonts w:ascii="Times New Roman" w:hAnsi="Times New Roman"/>
        </w:rPr>
        <w:t xml:space="preserve"> </w:t>
      </w:r>
      <w:r w:rsidR="002C7B4B">
        <w:rPr>
          <w:rFonts w:ascii="Times New Roman" w:hAnsi="Times New Roman"/>
        </w:rPr>
        <w:t xml:space="preserve">stosowany jest </w:t>
      </w:r>
      <w:r w:rsidR="002C7B4B" w:rsidRPr="002C7B4B">
        <w:rPr>
          <w:rFonts w:ascii="Times New Roman" w:hAnsi="Times New Roman"/>
        </w:rPr>
        <w:t xml:space="preserve">okres przejściowy, który kończy się </w:t>
      </w:r>
      <w:r w:rsidR="002C7B4B">
        <w:rPr>
          <w:rFonts w:ascii="Times New Roman" w:hAnsi="Times New Roman"/>
        </w:rPr>
        <w:t xml:space="preserve">w dniu </w:t>
      </w:r>
      <w:r w:rsidR="002C7B4B" w:rsidRPr="002C7B4B">
        <w:rPr>
          <w:rFonts w:ascii="Times New Roman" w:hAnsi="Times New Roman"/>
        </w:rPr>
        <w:t xml:space="preserve">31.12.2020 </w:t>
      </w:r>
      <w:r w:rsidR="002C7B4B">
        <w:rPr>
          <w:rFonts w:ascii="Times New Roman" w:hAnsi="Times New Roman"/>
        </w:rPr>
        <w:t xml:space="preserve">r. </w:t>
      </w:r>
      <w:r w:rsidR="002C7B4B" w:rsidRPr="002C7B4B">
        <w:rPr>
          <w:rFonts w:ascii="Times New Roman" w:hAnsi="Times New Roman"/>
        </w:rPr>
        <w:t>z upływem godz</w:t>
      </w:r>
      <w:r w:rsidR="00351EA2">
        <w:rPr>
          <w:rFonts w:ascii="Times New Roman" w:hAnsi="Times New Roman"/>
        </w:rPr>
        <w:t>iny</w:t>
      </w:r>
      <w:r w:rsidR="002C7B4B" w:rsidRPr="002C7B4B">
        <w:rPr>
          <w:rFonts w:ascii="Times New Roman" w:hAnsi="Times New Roman"/>
        </w:rPr>
        <w:t xml:space="preserve"> 23:5</w:t>
      </w:r>
      <w:r w:rsidR="00C7631D">
        <w:rPr>
          <w:rFonts w:ascii="Times New Roman" w:hAnsi="Times New Roman"/>
        </w:rPr>
        <w:t>9 czasu środkowoeuropejskiego O</w:t>
      </w:r>
      <w:r w:rsidR="002C7B4B">
        <w:rPr>
          <w:rFonts w:ascii="Times New Roman" w:hAnsi="Times New Roman"/>
        </w:rPr>
        <w:t xml:space="preserve">d dnia 1.01.2021 r. </w:t>
      </w:r>
      <w:r w:rsidR="00445D43">
        <w:rPr>
          <w:rFonts w:ascii="Times New Roman" w:hAnsi="Times New Roman"/>
        </w:rPr>
        <w:t xml:space="preserve">godzina 00:00 czasu środkowoeuropejskiego dla towarów wywożonych do Zjednoczonego Królestwa, poza przypadkiem stosowania dostawy wewnątrzunijnej towarów </w:t>
      </w:r>
      <w:r w:rsidR="00757356">
        <w:rPr>
          <w:rFonts w:ascii="Times New Roman" w:hAnsi="Times New Roman"/>
        </w:rPr>
        <w:t>na obszar</w:t>
      </w:r>
      <w:r w:rsidR="00445D43">
        <w:rPr>
          <w:rFonts w:ascii="Times New Roman" w:hAnsi="Times New Roman"/>
        </w:rPr>
        <w:t xml:space="preserve"> Irlandii Północnej (</w:t>
      </w:r>
      <w:r w:rsidR="00351EA2">
        <w:rPr>
          <w:rFonts w:ascii="Times New Roman" w:hAnsi="Times New Roman"/>
        </w:rPr>
        <w:t xml:space="preserve">na mocy </w:t>
      </w:r>
      <w:r w:rsidR="00351EA2" w:rsidRPr="00351EA2">
        <w:rPr>
          <w:rFonts w:ascii="Times New Roman" w:hAnsi="Times New Roman"/>
        </w:rPr>
        <w:t>Protok</w:t>
      </w:r>
      <w:r w:rsidR="00351EA2">
        <w:rPr>
          <w:rFonts w:ascii="Times New Roman" w:hAnsi="Times New Roman"/>
        </w:rPr>
        <w:t>o</w:t>
      </w:r>
      <w:r w:rsidR="00351EA2" w:rsidRPr="00351EA2">
        <w:rPr>
          <w:rFonts w:ascii="Times New Roman" w:hAnsi="Times New Roman"/>
        </w:rPr>
        <w:t>ł</w:t>
      </w:r>
      <w:r w:rsidR="00351EA2">
        <w:rPr>
          <w:rFonts w:ascii="Times New Roman" w:hAnsi="Times New Roman"/>
        </w:rPr>
        <w:t>u</w:t>
      </w:r>
      <w:r w:rsidR="00351EA2" w:rsidRPr="00351EA2">
        <w:rPr>
          <w:rFonts w:ascii="Times New Roman" w:hAnsi="Times New Roman"/>
        </w:rPr>
        <w:t xml:space="preserve"> w sprawie Irlandii/Irlandii Północnej</w:t>
      </w:r>
      <w:r w:rsidR="00351EA2">
        <w:rPr>
          <w:rFonts w:ascii="Times New Roman" w:hAnsi="Times New Roman"/>
        </w:rPr>
        <w:t>), stosowane będą zgłoszenia celne do procedury wywozu (w systemie AES/ECS2).</w:t>
      </w:r>
    </w:p>
    <w:p w:rsidR="002C7B4B" w:rsidRDefault="002C7B4B" w:rsidP="007C55AD">
      <w:pPr>
        <w:jc w:val="both"/>
        <w:rPr>
          <w:rFonts w:ascii="Times New Roman" w:hAnsi="Times New Roman"/>
        </w:rPr>
      </w:pPr>
    </w:p>
    <w:p w:rsidR="007C55AD" w:rsidRDefault="00351EA2" w:rsidP="007C55AD">
      <w:pPr>
        <w:jc w:val="both"/>
        <w:rPr>
          <w:rFonts w:ascii="Times New Roman" w:hAnsi="Times New Roman"/>
        </w:rPr>
      </w:pPr>
      <w:r w:rsidRPr="009226D6">
        <w:rPr>
          <w:rFonts w:ascii="Times New Roman" w:hAnsi="Times New Roman"/>
          <w:b/>
        </w:rPr>
        <w:t xml:space="preserve">Informujemy, że </w:t>
      </w:r>
      <w:r w:rsidR="00202F94" w:rsidRPr="009226D6">
        <w:rPr>
          <w:rFonts w:ascii="Times New Roman" w:hAnsi="Times New Roman"/>
          <w:b/>
        </w:rPr>
        <w:t xml:space="preserve">nie należy </w:t>
      </w:r>
      <w:r w:rsidRPr="009226D6">
        <w:rPr>
          <w:rFonts w:ascii="Times New Roman" w:hAnsi="Times New Roman"/>
          <w:b/>
        </w:rPr>
        <w:t>ww. zgłoszeń</w:t>
      </w:r>
      <w:r w:rsidR="007C55AD" w:rsidRPr="009226D6">
        <w:rPr>
          <w:rFonts w:ascii="Times New Roman" w:hAnsi="Times New Roman"/>
          <w:b/>
        </w:rPr>
        <w:t xml:space="preserve"> </w:t>
      </w:r>
      <w:r w:rsidR="00D31A33">
        <w:rPr>
          <w:rFonts w:ascii="Times New Roman" w:hAnsi="Times New Roman"/>
          <w:b/>
        </w:rPr>
        <w:t xml:space="preserve">dokonywać </w:t>
      </w:r>
      <w:r w:rsidR="007C55AD" w:rsidRPr="009226D6">
        <w:rPr>
          <w:rFonts w:ascii="Times New Roman" w:hAnsi="Times New Roman"/>
          <w:b/>
        </w:rPr>
        <w:t>„z wyprzedzeniem”</w:t>
      </w:r>
      <w:r w:rsidR="007C55AD" w:rsidRPr="004A713A">
        <w:rPr>
          <w:rFonts w:ascii="Times New Roman" w:hAnsi="Times New Roman"/>
        </w:rPr>
        <w:t>, bowiem system AES/ECS</w:t>
      </w:r>
      <w:r w:rsidR="00D16AC3">
        <w:rPr>
          <w:rFonts w:ascii="Times New Roman" w:hAnsi="Times New Roman"/>
        </w:rPr>
        <w:t>2</w:t>
      </w:r>
      <w:r w:rsidR="007C55AD" w:rsidRPr="004A713A">
        <w:rPr>
          <w:rFonts w:ascii="Times New Roman" w:hAnsi="Times New Roman"/>
        </w:rPr>
        <w:t xml:space="preserve">, zbudowany w oparciu o unijną specyfikację funkcjonalną, odrzuci </w:t>
      </w:r>
      <w:r>
        <w:rPr>
          <w:rFonts w:ascii="Times New Roman" w:hAnsi="Times New Roman"/>
        </w:rPr>
        <w:t xml:space="preserve">takie </w:t>
      </w:r>
      <w:r w:rsidR="007C55AD" w:rsidRPr="004A713A">
        <w:rPr>
          <w:rFonts w:ascii="Times New Roman" w:hAnsi="Times New Roman"/>
        </w:rPr>
        <w:t>zgłoszenie z kodem kraju przeznaczenia „UK”</w:t>
      </w:r>
      <w:r>
        <w:rPr>
          <w:rFonts w:ascii="Times New Roman" w:hAnsi="Times New Roman"/>
        </w:rPr>
        <w:t xml:space="preserve"> </w:t>
      </w:r>
      <w:r w:rsidR="00757356">
        <w:rPr>
          <w:rFonts w:ascii="Times New Roman" w:hAnsi="Times New Roman"/>
        </w:rPr>
        <w:t xml:space="preserve">złożone </w:t>
      </w:r>
      <w:r w:rsidRPr="00351EA2">
        <w:rPr>
          <w:rFonts w:ascii="Times New Roman" w:hAnsi="Times New Roman"/>
        </w:rPr>
        <w:t>przed dniem 1.01.20201 r. godzina 00:00 czasu</w:t>
      </w:r>
      <w:r w:rsidR="00757356">
        <w:rPr>
          <w:rFonts w:ascii="Times New Roman" w:hAnsi="Times New Roman"/>
        </w:rPr>
        <w:t xml:space="preserve"> środkowoeuropejskiego</w:t>
      </w:r>
      <w:r w:rsidR="007C55AD" w:rsidRPr="004A713A">
        <w:rPr>
          <w:rFonts w:ascii="Times New Roman" w:hAnsi="Times New Roman"/>
        </w:rPr>
        <w:t xml:space="preserve">. </w:t>
      </w:r>
    </w:p>
    <w:p w:rsidR="00D16AC3" w:rsidRPr="004A713A" w:rsidRDefault="00D16AC3" w:rsidP="007C55AD">
      <w:pPr>
        <w:jc w:val="both"/>
        <w:rPr>
          <w:rFonts w:ascii="Times New Roman" w:hAnsi="Times New Roman"/>
        </w:rPr>
      </w:pPr>
    </w:p>
    <w:p w:rsidR="007C55AD" w:rsidRDefault="007C55AD" w:rsidP="007C55AD">
      <w:pPr>
        <w:jc w:val="both"/>
        <w:rPr>
          <w:rFonts w:ascii="Times New Roman" w:hAnsi="Times New Roman"/>
        </w:rPr>
      </w:pPr>
      <w:bookmarkStart w:id="0" w:name="_GoBack"/>
      <w:bookmarkEnd w:id="0"/>
      <w:r w:rsidRPr="00C5292C">
        <w:rPr>
          <w:rFonts w:ascii="Times New Roman" w:hAnsi="Times New Roman"/>
        </w:rPr>
        <w:t xml:space="preserve">Celem zapewnienia </w:t>
      </w:r>
      <w:r w:rsidR="00C23394">
        <w:rPr>
          <w:rFonts w:ascii="Times New Roman" w:hAnsi="Times New Roman"/>
        </w:rPr>
        <w:t>jak najmniej problematycznego okresu przejściowego (</w:t>
      </w:r>
      <w:r w:rsidRPr="00C5292C">
        <w:rPr>
          <w:rFonts w:ascii="Times New Roman" w:hAnsi="Times New Roman"/>
        </w:rPr>
        <w:t xml:space="preserve">pomiędzy ostatnimi dniami </w:t>
      </w:r>
      <w:r>
        <w:rPr>
          <w:rFonts w:ascii="Times New Roman" w:hAnsi="Times New Roman"/>
        </w:rPr>
        <w:t>grudnia 2020</w:t>
      </w:r>
      <w:r w:rsidRPr="00C5292C">
        <w:rPr>
          <w:rFonts w:ascii="Times New Roman" w:hAnsi="Times New Roman"/>
        </w:rPr>
        <w:t xml:space="preserve"> </w:t>
      </w:r>
      <w:r w:rsidR="00202F94">
        <w:rPr>
          <w:rFonts w:ascii="Times New Roman" w:hAnsi="Times New Roman"/>
        </w:rPr>
        <w:t xml:space="preserve">r. </w:t>
      </w:r>
      <w:r w:rsidRPr="00C5292C">
        <w:rPr>
          <w:rFonts w:ascii="Times New Roman" w:hAnsi="Times New Roman"/>
        </w:rPr>
        <w:t xml:space="preserve">i pierwszymi dniami </w:t>
      </w:r>
      <w:r>
        <w:rPr>
          <w:rFonts w:ascii="Times New Roman" w:hAnsi="Times New Roman"/>
        </w:rPr>
        <w:t>stycznia 2021</w:t>
      </w:r>
      <w:r w:rsidRPr="00C5292C">
        <w:rPr>
          <w:rFonts w:ascii="Times New Roman" w:hAnsi="Times New Roman"/>
        </w:rPr>
        <w:t xml:space="preserve"> r.</w:t>
      </w:r>
      <w:r w:rsidR="00C23394">
        <w:rPr>
          <w:rFonts w:ascii="Times New Roman" w:hAnsi="Times New Roman"/>
        </w:rPr>
        <w:t>)</w:t>
      </w:r>
      <w:r w:rsidRPr="00C5292C">
        <w:rPr>
          <w:rFonts w:ascii="Times New Roman" w:hAnsi="Times New Roman"/>
        </w:rPr>
        <w:t xml:space="preserve"> wyjaśnia</w:t>
      </w:r>
      <w:r>
        <w:rPr>
          <w:rFonts w:ascii="Times New Roman" w:hAnsi="Times New Roman"/>
        </w:rPr>
        <w:t>my</w:t>
      </w:r>
      <w:r w:rsidRPr="00C5292C">
        <w:rPr>
          <w:rFonts w:ascii="Times New Roman" w:hAnsi="Times New Roman"/>
        </w:rPr>
        <w:t>:</w:t>
      </w:r>
    </w:p>
    <w:p w:rsidR="007C55AD" w:rsidRDefault="007C55AD" w:rsidP="007C55AD">
      <w:pPr>
        <w:jc w:val="both"/>
        <w:rPr>
          <w:rFonts w:ascii="Times New Roman" w:hAnsi="Times New Roman"/>
        </w:rPr>
      </w:pPr>
    </w:p>
    <w:p w:rsidR="00252649" w:rsidRDefault="00252649" w:rsidP="007C55AD">
      <w:pPr>
        <w:jc w:val="both"/>
        <w:rPr>
          <w:rFonts w:ascii="Times New Roman" w:hAnsi="Times New Roman"/>
        </w:rPr>
      </w:pPr>
    </w:p>
    <w:p w:rsidR="00252649" w:rsidRPr="00C7631D" w:rsidRDefault="00252649" w:rsidP="00252649">
      <w:pPr>
        <w:pStyle w:val="Akapitzlist"/>
        <w:numPr>
          <w:ilvl w:val="0"/>
          <w:numId w:val="2"/>
        </w:numPr>
        <w:jc w:val="both"/>
        <w:rPr>
          <w:rFonts w:ascii="Times New Roman" w:hAnsi="Times New Roman"/>
          <w:sz w:val="28"/>
          <w:szCs w:val="28"/>
        </w:rPr>
      </w:pPr>
      <w:r w:rsidRPr="00C7631D">
        <w:rPr>
          <w:rFonts w:ascii="Times New Roman" w:hAnsi="Times New Roman"/>
          <w:sz w:val="28"/>
          <w:szCs w:val="28"/>
        </w:rPr>
        <w:t>Towary</w:t>
      </w:r>
      <w:r w:rsidR="00202F94" w:rsidRPr="00C7631D">
        <w:rPr>
          <w:rFonts w:ascii="Times New Roman" w:hAnsi="Times New Roman"/>
          <w:sz w:val="28"/>
          <w:szCs w:val="28"/>
        </w:rPr>
        <w:t>,</w:t>
      </w:r>
      <w:r w:rsidRPr="00C7631D">
        <w:rPr>
          <w:rFonts w:ascii="Times New Roman" w:hAnsi="Times New Roman"/>
          <w:sz w:val="28"/>
          <w:szCs w:val="28"/>
        </w:rPr>
        <w:t xml:space="preserve"> których przemieszczenie rozpoczęło się przed zakończeniem okresu przejściowego, tj. przed 1.01.2021 r. a zakończyło się po jego upływie, tj. </w:t>
      </w:r>
      <w:r w:rsidR="00BD0029" w:rsidRPr="00C7631D">
        <w:rPr>
          <w:rFonts w:ascii="Times New Roman" w:hAnsi="Times New Roman"/>
          <w:sz w:val="28"/>
          <w:szCs w:val="28"/>
        </w:rPr>
        <w:t xml:space="preserve">po </w:t>
      </w:r>
      <w:r w:rsidRPr="00C7631D">
        <w:rPr>
          <w:rFonts w:ascii="Times New Roman" w:hAnsi="Times New Roman"/>
          <w:sz w:val="28"/>
          <w:szCs w:val="28"/>
        </w:rPr>
        <w:t>1.01.2021</w:t>
      </w:r>
      <w:r w:rsidR="00BD0029" w:rsidRPr="00C7631D">
        <w:rPr>
          <w:rFonts w:ascii="Times New Roman" w:hAnsi="Times New Roman"/>
          <w:sz w:val="28"/>
          <w:szCs w:val="28"/>
        </w:rPr>
        <w:t>r</w:t>
      </w:r>
      <w:r w:rsidRPr="00C7631D">
        <w:rPr>
          <w:rFonts w:ascii="Times New Roman" w:hAnsi="Times New Roman"/>
          <w:sz w:val="28"/>
          <w:szCs w:val="28"/>
        </w:rPr>
        <w:t>.</w:t>
      </w:r>
    </w:p>
    <w:p w:rsidR="00252649" w:rsidRDefault="00252649" w:rsidP="00252649">
      <w:pPr>
        <w:pStyle w:val="Akapitzlist"/>
        <w:jc w:val="both"/>
        <w:rPr>
          <w:rFonts w:ascii="Times New Roman" w:hAnsi="Times New Roman"/>
        </w:rPr>
      </w:pPr>
    </w:p>
    <w:p w:rsidR="00DA79C5" w:rsidRDefault="00252649" w:rsidP="00DA79C5">
      <w:pPr>
        <w:jc w:val="both"/>
        <w:rPr>
          <w:rFonts w:ascii="Times New Roman" w:hAnsi="Times New Roman"/>
        </w:rPr>
      </w:pPr>
      <w:r>
        <w:rPr>
          <w:rFonts w:ascii="Times New Roman" w:hAnsi="Times New Roman"/>
        </w:rPr>
        <w:t xml:space="preserve">Takie przypadki są uregulowane w art. 47 Umowy o wystąpieniu. </w:t>
      </w:r>
      <w:r w:rsidRPr="002B38A0">
        <w:rPr>
          <w:rFonts w:ascii="Times New Roman" w:hAnsi="Times New Roman"/>
          <w:b/>
        </w:rPr>
        <w:t>Przemieszczanie towarów, które rozpoczęło się przed zakończeniem okresu przejściowego, a kończy się po jego upływie, traktuje się jako przemieszczenie wewnątrzunijne</w:t>
      </w:r>
      <w:r w:rsidR="00BD0029">
        <w:rPr>
          <w:rFonts w:ascii="Times New Roman" w:hAnsi="Times New Roman"/>
          <w:b/>
        </w:rPr>
        <w:t xml:space="preserve">, jednakże </w:t>
      </w:r>
      <w:r w:rsidR="00BD0029">
        <w:rPr>
          <w:rFonts w:ascii="Times New Roman" w:hAnsi="Times New Roman"/>
        </w:rPr>
        <w:t>o</w:t>
      </w:r>
      <w:r w:rsidR="00DA79C5">
        <w:rPr>
          <w:rFonts w:ascii="Times New Roman" w:hAnsi="Times New Roman"/>
        </w:rPr>
        <w:t xml:space="preserve">soba zainteresowana zobowiązana jest do wykazania, że przemieszczenie </w:t>
      </w:r>
      <w:r w:rsidR="00DA79C5" w:rsidRPr="00DA79C5">
        <w:rPr>
          <w:rFonts w:ascii="Times New Roman" w:hAnsi="Times New Roman"/>
        </w:rPr>
        <w:t>rozpoczęło się przed zakończeniem okresu przejściowego, za pomocą któregokolwiek z środków, o których mowa w art. 199 rozporządzenia wyko</w:t>
      </w:r>
      <w:r w:rsidR="00DA79C5">
        <w:rPr>
          <w:rFonts w:ascii="Times New Roman" w:hAnsi="Times New Roman"/>
        </w:rPr>
        <w:t xml:space="preserve">nawczego Komisji (UE) 2015/2447. </w:t>
      </w:r>
      <w:r w:rsidR="00BD0029">
        <w:rPr>
          <w:rFonts w:ascii="Times New Roman" w:hAnsi="Times New Roman"/>
        </w:rPr>
        <w:t>Ponadto, k</w:t>
      </w:r>
      <w:r w:rsidR="00DA79C5">
        <w:rPr>
          <w:rFonts w:ascii="Times New Roman" w:hAnsi="Times New Roman"/>
        </w:rPr>
        <w:t>ażdy taki przypadek przemieszczenia należy oceniać indywidualnie.</w:t>
      </w:r>
    </w:p>
    <w:p w:rsidR="00D31A33" w:rsidRDefault="00D31A33" w:rsidP="00DA79C5">
      <w:pPr>
        <w:jc w:val="both"/>
        <w:rPr>
          <w:rFonts w:ascii="Times New Roman" w:hAnsi="Times New Roman"/>
        </w:rPr>
      </w:pPr>
    </w:p>
    <w:p w:rsidR="009B09D7" w:rsidRDefault="00C7631D" w:rsidP="00DA79C5">
      <w:pPr>
        <w:jc w:val="both"/>
        <w:rPr>
          <w:rFonts w:ascii="Times New Roman" w:hAnsi="Times New Roman"/>
        </w:rPr>
      </w:pPr>
      <w:r>
        <w:rPr>
          <w:rFonts w:ascii="Times New Roman" w:hAnsi="Times New Roman"/>
        </w:rPr>
        <w:t xml:space="preserve">Powyższa zasada </w:t>
      </w:r>
      <w:r w:rsidR="00DA79C5">
        <w:rPr>
          <w:rFonts w:ascii="Times New Roman" w:hAnsi="Times New Roman"/>
        </w:rPr>
        <w:t>nie dotyczy</w:t>
      </w:r>
      <w:r>
        <w:rPr>
          <w:rFonts w:ascii="Times New Roman" w:hAnsi="Times New Roman"/>
        </w:rPr>
        <w:t xml:space="preserve"> i </w:t>
      </w:r>
      <w:r w:rsidRPr="00C7631D">
        <w:rPr>
          <w:rFonts w:ascii="Times New Roman" w:hAnsi="Times New Roman"/>
        </w:rPr>
        <w:t xml:space="preserve"> zwolnione są z obowiązku wykazywania</w:t>
      </w:r>
      <w:r w:rsidR="009B09D7">
        <w:rPr>
          <w:rFonts w:ascii="Times New Roman" w:hAnsi="Times New Roman"/>
        </w:rPr>
        <w:t>:</w:t>
      </w:r>
    </w:p>
    <w:p w:rsidR="00D31A33" w:rsidRDefault="00D31A33" w:rsidP="00DA79C5">
      <w:pPr>
        <w:jc w:val="both"/>
        <w:rPr>
          <w:rFonts w:ascii="Times New Roman" w:hAnsi="Times New Roman"/>
        </w:rPr>
      </w:pPr>
    </w:p>
    <w:p w:rsidR="009B09D7" w:rsidRDefault="00C7631D" w:rsidP="009B09D7">
      <w:pPr>
        <w:pStyle w:val="Akapitzlist"/>
        <w:numPr>
          <w:ilvl w:val="0"/>
          <w:numId w:val="3"/>
        </w:numPr>
        <w:jc w:val="both"/>
        <w:rPr>
          <w:rFonts w:ascii="Times New Roman" w:hAnsi="Times New Roman"/>
        </w:rPr>
      </w:pPr>
      <w:r>
        <w:rPr>
          <w:rFonts w:ascii="Times New Roman" w:hAnsi="Times New Roman"/>
        </w:rPr>
        <w:t>towary unijne przewożone</w:t>
      </w:r>
      <w:r w:rsidR="00DA79C5" w:rsidRPr="009B09D7">
        <w:rPr>
          <w:rFonts w:ascii="Times New Roman" w:hAnsi="Times New Roman"/>
        </w:rPr>
        <w:t xml:space="preserve"> tra</w:t>
      </w:r>
      <w:r>
        <w:rPr>
          <w:rFonts w:ascii="Times New Roman" w:hAnsi="Times New Roman"/>
        </w:rPr>
        <w:t>nsportem lotniczym, załadowane lub przeładowane</w:t>
      </w:r>
      <w:r w:rsidR="00DA79C5" w:rsidRPr="009B09D7">
        <w:rPr>
          <w:rFonts w:ascii="Times New Roman" w:hAnsi="Times New Roman"/>
        </w:rPr>
        <w:t xml:space="preserve"> w porcie lotniczym znajdującym się na obszarze celnym Unii w celu przesyłania na obszar celny Zjednoczonego Królestwa, jeżeli takie towary są przewożone na podstawie jednolitego dokumentu przewozowego, o ile przemieszczenie drogą lotniczą rozpoczęło się przed zakończeniem okresu </w:t>
      </w:r>
      <w:r w:rsidR="009B09D7" w:rsidRPr="009B09D7">
        <w:rPr>
          <w:rFonts w:ascii="Times New Roman" w:hAnsi="Times New Roman"/>
        </w:rPr>
        <w:t>przejściowego, a zakończyło się po jego upływie;</w:t>
      </w:r>
    </w:p>
    <w:p w:rsidR="00D31A33" w:rsidRPr="009B09D7" w:rsidRDefault="00D31A33" w:rsidP="00D31A33">
      <w:pPr>
        <w:pStyle w:val="Akapitzlist"/>
        <w:jc w:val="both"/>
        <w:rPr>
          <w:rFonts w:ascii="Times New Roman" w:hAnsi="Times New Roman"/>
        </w:rPr>
      </w:pPr>
    </w:p>
    <w:p w:rsidR="009B09D7" w:rsidRPr="009B09D7" w:rsidRDefault="00C7631D" w:rsidP="009B09D7">
      <w:pPr>
        <w:pStyle w:val="Akapitzlist"/>
        <w:numPr>
          <w:ilvl w:val="0"/>
          <w:numId w:val="3"/>
        </w:numPr>
        <w:jc w:val="both"/>
        <w:rPr>
          <w:rFonts w:ascii="Times New Roman" w:hAnsi="Times New Roman"/>
        </w:rPr>
      </w:pPr>
      <w:r>
        <w:rPr>
          <w:rFonts w:ascii="Times New Roman" w:hAnsi="Times New Roman"/>
        </w:rPr>
        <w:t>towary unijne przewożone</w:t>
      </w:r>
      <w:r w:rsidR="009B09D7" w:rsidRPr="009B09D7">
        <w:rPr>
          <w:rFonts w:ascii="Times New Roman" w:hAnsi="Times New Roman"/>
        </w:rPr>
        <w:t xml:space="preserve"> transportem morskim między portami znajdującymi się na obszarze celnym Zjednoczonego Królestwa i portami znajdującymi się na obszarze celnym Unii przez regularną linię żeglugową, o której mowa w art. 120 rozporządzenia delegowanego Komisji (UE) 20</w:t>
      </w:r>
      <w:r w:rsidR="009B09D7">
        <w:rPr>
          <w:rFonts w:ascii="Times New Roman" w:hAnsi="Times New Roman"/>
        </w:rPr>
        <w:t>15/2446</w:t>
      </w:r>
      <w:r w:rsidR="009B09D7" w:rsidRPr="009B09D7">
        <w:rPr>
          <w:rFonts w:ascii="Times New Roman" w:hAnsi="Times New Roman"/>
        </w:rPr>
        <w:t>, pod warunkiem że:</w:t>
      </w:r>
    </w:p>
    <w:tbl>
      <w:tblPr>
        <w:tblW w:w="5000" w:type="pct"/>
        <w:shd w:val="clear" w:color="auto" w:fill="FFFFFF"/>
        <w:tblCellMar>
          <w:left w:w="0" w:type="dxa"/>
          <w:right w:w="0" w:type="dxa"/>
        </w:tblCellMar>
        <w:tblLook w:val="04A0" w:firstRow="1" w:lastRow="0" w:firstColumn="1" w:lastColumn="0" w:noHBand="0" w:noVBand="1"/>
      </w:tblPr>
      <w:tblGrid>
        <w:gridCol w:w="907"/>
        <w:gridCol w:w="8165"/>
      </w:tblGrid>
      <w:tr w:rsidR="009B09D7" w:rsidRPr="009B09D7" w:rsidTr="009B09D7">
        <w:tc>
          <w:tcPr>
            <w:tcW w:w="0" w:type="auto"/>
            <w:shd w:val="clear" w:color="auto" w:fill="FFFFFF"/>
            <w:hideMark/>
          </w:tcPr>
          <w:p w:rsidR="009B09D7" w:rsidRPr="009B09D7" w:rsidRDefault="009B09D7" w:rsidP="009B09D7">
            <w:pPr>
              <w:pStyle w:val="Akapitzlist"/>
              <w:rPr>
                <w:rFonts w:ascii="Times New Roman" w:hAnsi="Times New Roman"/>
              </w:rPr>
            </w:pPr>
            <w:r w:rsidRPr="009B09D7">
              <w:rPr>
                <w:rFonts w:ascii="Times New Roman" w:hAnsi="Times New Roman"/>
              </w:rPr>
              <w:t>a)</w:t>
            </w:r>
          </w:p>
        </w:tc>
        <w:tc>
          <w:tcPr>
            <w:tcW w:w="0" w:type="auto"/>
            <w:shd w:val="clear" w:color="auto" w:fill="FFFFFF"/>
            <w:hideMark/>
          </w:tcPr>
          <w:p w:rsidR="009B09D7" w:rsidRDefault="009B09D7" w:rsidP="009B09D7">
            <w:pPr>
              <w:jc w:val="both"/>
              <w:rPr>
                <w:rFonts w:ascii="Times New Roman" w:hAnsi="Times New Roman"/>
              </w:rPr>
            </w:pPr>
            <w:r>
              <w:rPr>
                <w:rFonts w:ascii="Times New Roman" w:hAnsi="Times New Roman"/>
              </w:rPr>
              <w:t xml:space="preserve"> </w:t>
            </w:r>
            <w:r w:rsidRPr="009B09D7">
              <w:rPr>
                <w:rFonts w:ascii="Times New Roman" w:hAnsi="Times New Roman"/>
              </w:rPr>
              <w:t>podróż obejmująca porty znajdujące się na obszarze celnym Zjednoczonego Królestwa i porty znajdujące się na obszarze celnym Unii rozpoczęła się przed zakończeniem okresu przejściowego, a zakończyła się po jego upływie; oraz</w:t>
            </w:r>
          </w:p>
          <w:p w:rsidR="00D31A33" w:rsidRPr="009B09D7" w:rsidRDefault="00D31A33" w:rsidP="009B09D7">
            <w:pPr>
              <w:jc w:val="both"/>
              <w:rPr>
                <w:rFonts w:ascii="Times New Roman" w:hAnsi="Times New Roman"/>
              </w:rPr>
            </w:pPr>
          </w:p>
        </w:tc>
      </w:tr>
    </w:tbl>
    <w:p w:rsidR="009B09D7" w:rsidRPr="009B09D7" w:rsidRDefault="009B09D7" w:rsidP="009B09D7">
      <w:pPr>
        <w:pStyle w:val="Akapitzlist"/>
        <w:numPr>
          <w:ilvl w:val="0"/>
          <w:numId w:val="3"/>
        </w:numPr>
        <w:jc w:val="both"/>
        <w:rPr>
          <w:rFonts w:ascii="Times New Roman" w:hAnsi="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20"/>
        <w:gridCol w:w="8152"/>
      </w:tblGrid>
      <w:tr w:rsidR="009B09D7" w:rsidRPr="009B09D7" w:rsidTr="009B09D7">
        <w:tc>
          <w:tcPr>
            <w:tcW w:w="0" w:type="auto"/>
            <w:shd w:val="clear" w:color="auto" w:fill="FFFFFF"/>
            <w:hideMark/>
          </w:tcPr>
          <w:p w:rsidR="009B09D7" w:rsidRPr="009B09D7" w:rsidRDefault="009B09D7" w:rsidP="009B09D7">
            <w:pPr>
              <w:pStyle w:val="Akapitzlist"/>
              <w:rPr>
                <w:rFonts w:ascii="Times New Roman" w:hAnsi="Times New Roman"/>
              </w:rPr>
            </w:pPr>
            <w:r w:rsidRPr="009B09D7">
              <w:rPr>
                <w:rFonts w:ascii="Times New Roman" w:hAnsi="Times New Roman"/>
              </w:rPr>
              <w:t>b)</w:t>
            </w:r>
          </w:p>
        </w:tc>
        <w:tc>
          <w:tcPr>
            <w:tcW w:w="0" w:type="auto"/>
            <w:shd w:val="clear" w:color="auto" w:fill="FFFFFF"/>
            <w:hideMark/>
          </w:tcPr>
          <w:p w:rsidR="009B09D7" w:rsidRPr="009B09D7" w:rsidRDefault="009B09D7" w:rsidP="009B09D7">
            <w:pPr>
              <w:jc w:val="both"/>
              <w:rPr>
                <w:rFonts w:ascii="Times New Roman" w:hAnsi="Times New Roman"/>
              </w:rPr>
            </w:pPr>
            <w:r>
              <w:rPr>
                <w:rFonts w:ascii="Times New Roman" w:hAnsi="Times New Roman"/>
              </w:rPr>
              <w:t xml:space="preserve"> </w:t>
            </w:r>
            <w:r w:rsidRPr="009B09D7">
              <w:rPr>
                <w:rFonts w:ascii="Times New Roman" w:hAnsi="Times New Roman"/>
              </w:rPr>
              <w:t>statek należący do regularnej linii żeglugowej zawinął do jednego portu lub większej liczby portów znajdujących się na obszarze celnym Zjednoczonego Królestwa bądź na obszarze celnym Unii przed zakończeniem okresu przejściowego.</w:t>
            </w:r>
          </w:p>
        </w:tc>
      </w:tr>
    </w:tbl>
    <w:p w:rsidR="009B09D7" w:rsidRDefault="009B09D7" w:rsidP="009B09D7">
      <w:pPr>
        <w:jc w:val="both"/>
        <w:rPr>
          <w:rFonts w:ascii="Times New Roman" w:hAnsi="Times New Roman"/>
        </w:rPr>
      </w:pPr>
    </w:p>
    <w:p w:rsidR="009B09D7" w:rsidRDefault="009B09D7" w:rsidP="009B09D7">
      <w:pPr>
        <w:jc w:val="both"/>
        <w:rPr>
          <w:rFonts w:ascii="Times New Roman" w:hAnsi="Times New Roman"/>
        </w:rPr>
      </w:pPr>
    </w:p>
    <w:p w:rsidR="009B09D7" w:rsidRPr="00C7631D" w:rsidRDefault="009B09D7" w:rsidP="009B09D7">
      <w:pPr>
        <w:pStyle w:val="Akapitzlist"/>
        <w:numPr>
          <w:ilvl w:val="0"/>
          <w:numId w:val="2"/>
        </w:numPr>
        <w:jc w:val="both"/>
        <w:rPr>
          <w:rFonts w:ascii="Times New Roman" w:hAnsi="Times New Roman"/>
          <w:sz w:val="28"/>
          <w:szCs w:val="28"/>
        </w:rPr>
      </w:pPr>
      <w:r w:rsidRPr="00C7631D">
        <w:rPr>
          <w:rFonts w:ascii="Times New Roman" w:hAnsi="Times New Roman"/>
          <w:sz w:val="28"/>
          <w:szCs w:val="28"/>
        </w:rPr>
        <w:t>Zgłoszenie towarów unijnych do procedury wywozu</w:t>
      </w:r>
      <w:r w:rsidR="00C7631D" w:rsidRPr="00C7631D">
        <w:rPr>
          <w:rFonts w:ascii="Times New Roman" w:hAnsi="Times New Roman"/>
          <w:sz w:val="28"/>
          <w:szCs w:val="28"/>
        </w:rPr>
        <w:t xml:space="preserve"> po upływie okresu przejściowego</w:t>
      </w:r>
      <w:r w:rsidRPr="00C7631D">
        <w:rPr>
          <w:rFonts w:ascii="Times New Roman" w:hAnsi="Times New Roman"/>
          <w:sz w:val="28"/>
          <w:szCs w:val="28"/>
        </w:rPr>
        <w:t>.</w:t>
      </w:r>
    </w:p>
    <w:p w:rsidR="00252649" w:rsidRDefault="00252649" w:rsidP="007C55AD">
      <w:pPr>
        <w:jc w:val="both"/>
        <w:rPr>
          <w:rFonts w:ascii="Times New Roman" w:hAnsi="Times New Roman"/>
        </w:rPr>
      </w:pPr>
    </w:p>
    <w:p w:rsidR="007C55AD" w:rsidRDefault="007C55AD" w:rsidP="007C55AD">
      <w:pPr>
        <w:jc w:val="both"/>
        <w:rPr>
          <w:rFonts w:ascii="Times New Roman" w:hAnsi="Times New Roman"/>
        </w:rPr>
      </w:pPr>
      <w:r>
        <w:rPr>
          <w:rFonts w:ascii="Times New Roman" w:hAnsi="Times New Roman"/>
        </w:rPr>
        <w:t xml:space="preserve">Od dnia 1.01.2021 </w:t>
      </w:r>
      <w:r w:rsidR="002C7B4B">
        <w:rPr>
          <w:rFonts w:ascii="Times New Roman" w:hAnsi="Times New Roman"/>
        </w:rPr>
        <w:t xml:space="preserve">r. </w:t>
      </w:r>
      <w:r w:rsidR="00757356">
        <w:rPr>
          <w:rFonts w:ascii="Times New Roman" w:hAnsi="Times New Roman"/>
        </w:rPr>
        <w:t xml:space="preserve">godzina 00:00 czasu środkowoeuropejskiego </w:t>
      </w:r>
      <w:r>
        <w:rPr>
          <w:rFonts w:ascii="Times New Roman" w:hAnsi="Times New Roman"/>
        </w:rPr>
        <w:t>dla towarów wywożonych z Polski do Zjednoczonego Królestwa powstaje</w:t>
      </w:r>
      <w:r w:rsidRPr="004A713A">
        <w:rPr>
          <w:rFonts w:ascii="Times New Roman" w:hAnsi="Times New Roman"/>
        </w:rPr>
        <w:t xml:space="preserve"> </w:t>
      </w:r>
      <w:r w:rsidRPr="004A713A">
        <w:rPr>
          <w:rFonts w:ascii="Times New Roman" w:hAnsi="Times New Roman"/>
          <w:b/>
        </w:rPr>
        <w:t xml:space="preserve">obowiązek złożenia zgłoszenia wywozowego </w:t>
      </w:r>
      <w:r w:rsidRPr="004A713A">
        <w:rPr>
          <w:rFonts w:ascii="Times New Roman" w:hAnsi="Times New Roman"/>
        </w:rPr>
        <w:t>i od tej daty należy składać takie zgłoszenia, co umożliwi również odpowiednia zmiana aplikacji IT dokonana na poziomie unijnym. Ministerstwo Finansów uczula przedsiębiorców, iż brak zgłoszenia towarów do procedury wywozu oznacza m. in. brak możliwości zastosowania 0% VAT dla wywiezionych towarów. Dlatego nie tylko obowiązkiem</w:t>
      </w:r>
      <w:r w:rsidR="002C7B4B">
        <w:rPr>
          <w:rFonts w:ascii="Times New Roman" w:hAnsi="Times New Roman"/>
        </w:rPr>
        <w:t>,</w:t>
      </w:r>
      <w:r w:rsidRPr="004A713A">
        <w:rPr>
          <w:rFonts w:ascii="Times New Roman" w:hAnsi="Times New Roman"/>
        </w:rPr>
        <w:t xml:space="preserve"> ale i w interesie eksportera jest dokonanie zgłoszenia do procedury wywozu.</w:t>
      </w:r>
    </w:p>
    <w:p w:rsidR="00D16AC3" w:rsidRPr="004A713A" w:rsidRDefault="00D16AC3" w:rsidP="007C55AD">
      <w:pPr>
        <w:jc w:val="both"/>
        <w:rPr>
          <w:rFonts w:ascii="Times New Roman" w:hAnsi="Times New Roman"/>
        </w:rPr>
      </w:pPr>
    </w:p>
    <w:p w:rsidR="007C55AD" w:rsidRPr="004A713A" w:rsidRDefault="007C55AD" w:rsidP="007C55AD">
      <w:pPr>
        <w:jc w:val="both"/>
        <w:rPr>
          <w:rFonts w:ascii="Times New Roman" w:hAnsi="Times New Roman"/>
        </w:rPr>
      </w:pPr>
      <w:r w:rsidRPr="004A713A">
        <w:rPr>
          <w:rFonts w:ascii="Times New Roman" w:hAnsi="Times New Roman"/>
        </w:rPr>
        <w:t xml:space="preserve">Zgodnie z art. 221 rozporządzenia wykonawczego </w:t>
      </w:r>
      <w:r w:rsidR="002C7B4B">
        <w:rPr>
          <w:rFonts w:ascii="Times New Roman" w:hAnsi="Times New Roman"/>
        </w:rPr>
        <w:t xml:space="preserve">Komisji (UE) </w:t>
      </w:r>
      <w:r w:rsidRPr="004A713A">
        <w:rPr>
          <w:rFonts w:ascii="Times New Roman" w:hAnsi="Times New Roman"/>
        </w:rPr>
        <w:t>2015/2447 zgłoszenie wywozowe należy złożyć w:</w:t>
      </w:r>
    </w:p>
    <w:p w:rsidR="007C55AD" w:rsidRPr="004A713A" w:rsidRDefault="007C55AD" w:rsidP="007C55AD">
      <w:pPr>
        <w:numPr>
          <w:ilvl w:val="0"/>
          <w:numId w:val="1"/>
        </w:numPr>
        <w:jc w:val="both"/>
        <w:rPr>
          <w:rFonts w:ascii="Times New Roman" w:hAnsi="Times New Roman"/>
        </w:rPr>
      </w:pPr>
      <w:r w:rsidRPr="004A713A">
        <w:rPr>
          <w:rFonts w:ascii="Times New Roman" w:hAnsi="Times New Roman"/>
        </w:rPr>
        <w:t xml:space="preserve">urzędzie właściwym </w:t>
      </w:r>
      <w:r w:rsidRPr="004A713A">
        <w:rPr>
          <w:rFonts w:ascii="Times New Roman" w:hAnsi="Times New Roman"/>
          <w:b/>
        </w:rPr>
        <w:t>dla siedziby eksportera</w:t>
      </w:r>
      <w:r w:rsidRPr="004A713A">
        <w:rPr>
          <w:rFonts w:ascii="Times New Roman" w:hAnsi="Times New Roman"/>
        </w:rPr>
        <w:t>,</w:t>
      </w:r>
    </w:p>
    <w:p w:rsidR="007C55AD" w:rsidRPr="004A713A" w:rsidRDefault="007C55AD" w:rsidP="007C55AD">
      <w:pPr>
        <w:numPr>
          <w:ilvl w:val="0"/>
          <w:numId w:val="1"/>
        </w:numPr>
        <w:jc w:val="both"/>
        <w:rPr>
          <w:rFonts w:ascii="Times New Roman" w:hAnsi="Times New Roman"/>
        </w:rPr>
      </w:pPr>
      <w:r w:rsidRPr="004A713A">
        <w:rPr>
          <w:rFonts w:ascii="Times New Roman" w:hAnsi="Times New Roman"/>
        </w:rPr>
        <w:t xml:space="preserve">jeżeli nie ma takiej możliwości zgłoszenie powinno być złożone w urzędzie celnym właściwym </w:t>
      </w:r>
      <w:r w:rsidRPr="004A713A">
        <w:rPr>
          <w:rFonts w:ascii="Times New Roman" w:hAnsi="Times New Roman"/>
          <w:b/>
        </w:rPr>
        <w:t>dla miejsca, gdzie towary są pakowane lub ładowane do transportu wywozowego</w:t>
      </w:r>
      <w:r w:rsidRPr="004A713A">
        <w:rPr>
          <w:rFonts w:ascii="Times New Roman" w:hAnsi="Times New Roman"/>
        </w:rPr>
        <w:t>,</w:t>
      </w:r>
    </w:p>
    <w:p w:rsidR="002B38A0" w:rsidRDefault="002B38A0" w:rsidP="00D16AC3">
      <w:pPr>
        <w:ind w:left="720"/>
        <w:jc w:val="both"/>
        <w:rPr>
          <w:rFonts w:ascii="Times New Roman" w:hAnsi="Times New Roman"/>
        </w:rPr>
      </w:pPr>
    </w:p>
    <w:p w:rsidR="00D16AC3" w:rsidRDefault="00D16AC3" w:rsidP="00D16AC3">
      <w:pPr>
        <w:jc w:val="both"/>
        <w:rPr>
          <w:rFonts w:ascii="Times New Roman" w:hAnsi="Times New Roman"/>
        </w:rPr>
      </w:pPr>
      <w:r w:rsidRPr="00D16AC3">
        <w:rPr>
          <w:rFonts w:ascii="Times New Roman" w:hAnsi="Times New Roman"/>
        </w:rPr>
        <w:t xml:space="preserve">Nie można wykluczyć, że w pierwszym okresie po </w:t>
      </w:r>
      <w:r w:rsidR="00757356">
        <w:rPr>
          <w:rFonts w:ascii="Times New Roman" w:hAnsi="Times New Roman"/>
        </w:rPr>
        <w:t xml:space="preserve">dniu 1.01.2021 r. </w:t>
      </w:r>
      <w:r w:rsidRPr="00D16AC3">
        <w:rPr>
          <w:rFonts w:ascii="Times New Roman" w:hAnsi="Times New Roman"/>
        </w:rPr>
        <w:t xml:space="preserve">mogą wystąpić </w:t>
      </w:r>
      <w:r>
        <w:rPr>
          <w:rFonts w:ascii="Times New Roman" w:hAnsi="Times New Roman"/>
        </w:rPr>
        <w:t xml:space="preserve">przejściowe </w:t>
      </w:r>
      <w:r w:rsidRPr="00D16AC3">
        <w:rPr>
          <w:rFonts w:ascii="Times New Roman" w:hAnsi="Times New Roman"/>
        </w:rPr>
        <w:t>problemy z uzyskaniem potwierdzenia wyprowadzenia towar</w:t>
      </w:r>
      <w:r w:rsidR="00757356">
        <w:rPr>
          <w:rFonts w:ascii="Times New Roman" w:hAnsi="Times New Roman"/>
        </w:rPr>
        <w:t>ów</w:t>
      </w:r>
      <w:r w:rsidRPr="00D16AC3">
        <w:rPr>
          <w:rFonts w:ascii="Times New Roman" w:hAnsi="Times New Roman"/>
        </w:rPr>
        <w:t xml:space="preserve"> </w:t>
      </w:r>
      <w:r w:rsidR="00757356">
        <w:rPr>
          <w:rFonts w:ascii="Times New Roman" w:hAnsi="Times New Roman"/>
        </w:rPr>
        <w:t xml:space="preserve">do Zjednoczonego Królestwa </w:t>
      </w:r>
      <w:r w:rsidRPr="00D16AC3">
        <w:rPr>
          <w:rFonts w:ascii="Times New Roman" w:hAnsi="Times New Roman"/>
        </w:rPr>
        <w:t xml:space="preserve">po stronie faktycznych </w:t>
      </w:r>
      <w:r w:rsidR="00757356">
        <w:rPr>
          <w:rFonts w:ascii="Times New Roman" w:hAnsi="Times New Roman"/>
        </w:rPr>
        <w:t xml:space="preserve">unijnych </w:t>
      </w:r>
      <w:r w:rsidRPr="00D16AC3">
        <w:rPr>
          <w:rFonts w:ascii="Times New Roman" w:hAnsi="Times New Roman"/>
        </w:rPr>
        <w:t xml:space="preserve">urzędów </w:t>
      </w:r>
      <w:r w:rsidR="00757356">
        <w:rPr>
          <w:rFonts w:ascii="Times New Roman" w:hAnsi="Times New Roman"/>
        </w:rPr>
        <w:t xml:space="preserve">celnych </w:t>
      </w:r>
      <w:r w:rsidRPr="00D16AC3">
        <w:rPr>
          <w:rFonts w:ascii="Times New Roman" w:hAnsi="Times New Roman"/>
        </w:rPr>
        <w:t>wyprowadzenia. Celem zapewnienia sprawnej obsługi procedury wywozu w zakresi</w:t>
      </w:r>
      <w:r w:rsidR="00E46569">
        <w:rPr>
          <w:rFonts w:ascii="Times New Roman" w:hAnsi="Times New Roman"/>
        </w:rPr>
        <w:t>e potwierdzenia jej zakończenia</w:t>
      </w:r>
      <w:r w:rsidRPr="00D16AC3">
        <w:rPr>
          <w:rFonts w:ascii="Times New Roman" w:hAnsi="Times New Roman"/>
        </w:rPr>
        <w:t xml:space="preserve"> rekomendujemy przedsiębiorcom na etapie obsługi zgłoszenia w urzędzie wyprowadzenia (granicznym) jak też</w:t>
      </w:r>
      <w:r w:rsidR="00E46569">
        <w:rPr>
          <w:rFonts w:ascii="Times New Roman" w:hAnsi="Times New Roman"/>
        </w:rPr>
        <w:t>/lub</w:t>
      </w:r>
      <w:r w:rsidRPr="00D16AC3">
        <w:rPr>
          <w:rFonts w:ascii="Times New Roman" w:hAnsi="Times New Roman"/>
        </w:rPr>
        <w:t xml:space="preserve"> na etapie wprowadzenia towaru na terytorium Zjednoczonego Królestwa </w:t>
      </w:r>
      <w:r w:rsidRPr="00EF41C8">
        <w:rPr>
          <w:rFonts w:ascii="Times New Roman" w:hAnsi="Times New Roman"/>
          <w:b/>
        </w:rPr>
        <w:t xml:space="preserve">pozyskiwanie wszelkich możliwych potwierdzeń faktu wyprowadzenia towarów i ich dostawy do </w:t>
      </w:r>
      <w:r w:rsidR="00757356">
        <w:rPr>
          <w:rFonts w:ascii="Times New Roman" w:hAnsi="Times New Roman"/>
          <w:b/>
        </w:rPr>
        <w:t>Zjednoczonego Królestwa</w:t>
      </w:r>
      <w:r w:rsidRPr="00D16AC3">
        <w:rPr>
          <w:rFonts w:ascii="Times New Roman" w:hAnsi="Times New Roman"/>
        </w:rPr>
        <w:t>.</w:t>
      </w:r>
      <w:r w:rsidR="00EF41C8">
        <w:rPr>
          <w:rFonts w:ascii="Times New Roman" w:hAnsi="Times New Roman"/>
        </w:rPr>
        <w:t xml:space="preserve"> Dokumenty te będą </w:t>
      </w:r>
      <w:r w:rsidR="00E46569">
        <w:rPr>
          <w:rFonts w:ascii="Times New Roman" w:hAnsi="Times New Roman"/>
        </w:rPr>
        <w:t>mogły stanowić</w:t>
      </w:r>
      <w:r w:rsidR="00EF41C8">
        <w:rPr>
          <w:rFonts w:ascii="Times New Roman" w:hAnsi="Times New Roman"/>
        </w:rPr>
        <w:t xml:space="preserve"> dowód</w:t>
      </w:r>
      <w:r w:rsidR="00F55395">
        <w:rPr>
          <w:rFonts w:ascii="Times New Roman" w:hAnsi="Times New Roman"/>
        </w:rPr>
        <w:t>,</w:t>
      </w:r>
      <w:r w:rsidR="00EF41C8">
        <w:rPr>
          <w:rFonts w:ascii="Times New Roman" w:hAnsi="Times New Roman"/>
        </w:rPr>
        <w:t xml:space="preserve"> na podstawie którego urząd wywozu będzie mógł potwierdzić fakt zakończenia procedury wywozu. </w:t>
      </w:r>
    </w:p>
    <w:p w:rsidR="00EF41C8" w:rsidRPr="004A713A" w:rsidRDefault="00EF41C8" w:rsidP="00D16AC3">
      <w:pPr>
        <w:jc w:val="both"/>
        <w:rPr>
          <w:rFonts w:ascii="Times New Roman" w:hAnsi="Times New Roman"/>
        </w:rPr>
      </w:pPr>
    </w:p>
    <w:p w:rsidR="007C55AD" w:rsidRDefault="007C55AD" w:rsidP="00EF41C8">
      <w:pPr>
        <w:jc w:val="both"/>
        <w:rPr>
          <w:rFonts w:ascii="Times New Roman" w:hAnsi="Times New Roman"/>
        </w:rPr>
      </w:pPr>
      <w:r w:rsidRPr="004A713A">
        <w:rPr>
          <w:rFonts w:ascii="Times New Roman" w:hAnsi="Times New Roman"/>
        </w:rPr>
        <w:t xml:space="preserve">Jednocześnie uprzejmie informujemy, że w </w:t>
      </w:r>
      <w:r w:rsidRPr="00E46569">
        <w:rPr>
          <w:rFonts w:ascii="Times New Roman" w:hAnsi="Times New Roman"/>
          <w:b/>
        </w:rPr>
        <w:t>szczególnych przypadkach</w:t>
      </w:r>
      <w:r w:rsidR="006C450D" w:rsidRPr="002B38A0">
        <w:rPr>
          <w:rFonts w:ascii="Times New Roman" w:hAnsi="Times New Roman"/>
        </w:rPr>
        <w:t>, z zastrzeżeniem pkt 1 nini</w:t>
      </w:r>
      <w:r w:rsidR="002B38A0" w:rsidRPr="002B38A0">
        <w:rPr>
          <w:rFonts w:ascii="Times New Roman" w:hAnsi="Times New Roman"/>
        </w:rPr>
        <w:t>e</w:t>
      </w:r>
      <w:r w:rsidR="006C450D" w:rsidRPr="002B38A0">
        <w:rPr>
          <w:rFonts w:ascii="Times New Roman" w:hAnsi="Times New Roman"/>
        </w:rPr>
        <w:t>jszego pisma</w:t>
      </w:r>
      <w:r w:rsidR="002B38A0" w:rsidRPr="002B38A0">
        <w:rPr>
          <w:rFonts w:ascii="Times New Roman" w:hAnsi="Times New Roman"/>
        </w:rPr>
        <w:t>,</w:t>
      </w:r>
      <w:r w:rsidRPr="004A713A">
        <w:rPr>
          <w:rFonts w:ascii="Times New Roman" w:hAnsi="Times New Roman"/>
        </w:rPr>
        <w:t xml:space="preserve"> możliwe jest także złożenie z</w:t>
      </w:r>
      <w:r w:rsidR="002B38A0">
        <w:rPr>
          <w:rFonts w:ascii="Times New Roman" w:hAnsi="Times New Roman"/>
        </w:rPr>
        <w:t>głoszenia retrospektywnego (</w:t>
      </w:r>
      <w:r w:rsidRPr="004A713A">
        <w:rPr>
          <w:rFonts w:ascii="Times New Roman" w:hAnsi="Times New Roman"/>
        </w:rPr>
        <w:t>po faktycznym wyprowadzeniu</w:t>
      </w:r>
      <w:r w:rsidR="00757356">
        <w:rPr>
          <w:rFonts w:ascii="Times New Roman" w:hAnsi="Times New Roman"/>
        </w:rPr>
        <w:t xml:space="preserve"> towarów</w:t>
      </w:r>
      <w:r w:rsidRPr="004A713A">
        <w:rPr>
          <w:rFonts w:ascii="Times New Roman" w:hAnsi="Times New Roman"/>
        </w:rPr>
        <w:t>). Zgłoszenie to składane jest do urzędu celnego właściwego ze względu na siedzibę eksportera w sytuacji</w:t>
      </w:r>
      <w:r w:rsidR="00757356">
        <w:rPr>
          <w:rFonts w:ascii="Times New Roman" w:hAnsi="Times New Roman"/>
        </w:rPr>
        <w:t>,</w:t>
      </w:r>
      <w:r w:rsidRPr="004A713A">
        <w:rPr>
          <w:rFonts w:ascii="Times New Roman" w:hAnsi="Times New Roman"/>
        </w:rPr>
        <w:t xml:space="preserve">  gdy towary omyłkowo wyjechały z obszaru UE bez zgłoszenia wywozowego</w:t>
      </w:r>
      <w:r w:rsidR="00757356">
        <w:rPr>
          <w:rFonts w:ascii="Times New Roman" w:hAnsi="Times New Roman"/>
        </w:rPr>
        <w:t>,</w:t>
      </w:r>
      <w:r w:rsidRPr="004A713A">
        <w:rPr>
          <w:rFonts w:ascii="Times New Roman" w:hAnsi="Times New Roman"/>
        </w:rPr>
        <w:t xml:space="preserve"> a zgłaszający przedstawia dowody alternatywne potwierdzające fakt wyprowadzenia towarów. </w:t>
      </w:r>
    </w:p>
    <w:p w:rsidR="00E46569" w:rsidRPr="004A713A" w:rsidRDefault="00E46569" w:rsidP="00EF41C8">
      <w:pPr>
        <w:jc w:val="both"/>
        <w:rPr>
          <w:rFonts w:ascii="Times New Roman" w:hAnsi="Times New Roman"/>
        </w:rPr>
      </w:pPr>
    </w:p>
    <w:p w:rsidR="007C55AD" w:rsidRDefault="007C55AD" w:rsidP="007C55AD">
      <w:pPr>
        <w:jc w:val="both"/>
        <w:rPr>
          <w:rFonts w:ascii="Times New Roman" w:hAnsi="Times New Roman"/>
          <w:b/>
        </w:rPr>
      </w:pPr>
      <w:r w:rsidRPr="00E46569">
        <w:rPr>
          <w:rFonts w:ascii="Times New Roman" w:hAnsi="Times New Roman"/>
          <w:b/>
        </w:rPr>
        <w:t xml:space="preserve">Szczegółowe zasady dokonywania zgłoszeń retrospektywnych oraz katalog przykładowych dowodów alternatywnych znajduje się w </w:t>
      </w:r>
      <w:r w:rsidR="00E46569" w:rsidRPr="00E46569">
        <w:rPr>
          <w:rFonts w:ascii="Times New Roman" w:hAnsi="Times New Roman"/>
          <w:b/>
        </w:rPr>
        <w:t>„</w:t>
      </w:r>
      <w:r w:rsidRPr="00E46569">
        <w:rPr>
          <w:rFonts w:ascii="Times New Roman" w:hAnsi="Times New Roman"/>
          <w:b/>
        </w:rPr>
        <w:t>Instrukcji w zakresie obsługi w systemie AES</w:t>
      </w:r>
      <w:r w:rsidR="00E46569" w:rsidRPr="00E46569">
        <w:rPr>
          <w:rFonts w:ascii="Times New Roman" w:hAnsi="Times New Roman"/>
          <w:b/>
        </w:rPr>
        <w:t>”</w:t>
      </w:r>
      <w:r w:rsidRPr="00E46569">
        <w:rPr>
          <w:rFonts w:ascii="Times New Roman" w:hAnsi="Times New Roman"/>
          <w:b/>
        </w:rPr>
        <w:t xml:space="preserve">, Sekcja A pkt 7 </w:t>
      </w:r>
      <w:proofErr w:type="spellStart"/>
      <w:r w:rsidRPr="00E46569">
        <w:rPr>
          <w:rFonts w:ascii="Times New Roman" w:hAnsi="Times New Roman"/>
          <w:b/>
        </w:rPr>
        <w:t>ppkt</w:t>
      </w:r>
      <w:proofErr w:type="spellEnd"/>
      <w:r w:rsidRPr="00E46569">
        <w:rPr>
          <w:rFonts w:ascii="Times New Roman" w:hAnsi="Times New Roman"/>
          <w:b/>
        </w:rPr>
        <w:t xml:space="preserve"> 7.1.  </w:t>
      </w:r>
    </w:p>
    <w:p w:rsidR="001D3BF4" w:rsidRPr="001D3BF4" w:rsidRDefault="001D3BF4" w:rsidP="007C55AD">
      <w:pPr>
        <w:jc w:val="both"/>
        <w:rPr>
          <w:rFonts w:ascii="Times New Roman" w:hAnsi="Times New Roman"/>
        </w:rPr>
      </w:pPr>
    </w:p>
    <w:p w:rsidR="00D16AC3" w:rsidRDefault="001D3BF4" w:rsidP="007C55AD">
      <w:pPr>
        <w:jc w:val="both"/>
        <w:rPr>
          <w:rFonts w:ascii="Times New Roman" w:hAnsi="Times New Roman"/>
        </w:rPr>
      </w:pPr>
      <w:r w:rsidRPr="001D3BF4">
        <w:rPr>
          <w:rFonts w:ascii="Times New Roman" w:hAnsi="Times New Roman"/>
        </w:rPr>
        <w:t>Jednocześnie uprzejmie przypominamy o konieczności rejestracji eksporterów</w:t>
      </w:r>
      <w:r w:rsidR="00D31A33">
        <w:rPr>
          <w:rFonts w:ascii="Times New Roman" w:hAnsi="Times New Roman"/>
        </w:rPr>
        <w:t xml:space="preserve"> w usłudze e-Klient i otrzymania</w:t>
      </w:r>
      <w:r w:rsidRPr="001D3BF4">
        <w:rPr>
          <w:rFonts w:ascii="Times New Roman" w:hAnsi="Times New Roman"/>
        </w:rPr>
        <w:t xml:space="preserve"> numeru EORI (o ile podmiot nie posiada tego numeru).</w:t>
      </w:r>
    </w:p>
    <w:p w:rsidR="00D16AC3" w:rsidRDefault="00D16AC3" w:rsidP="007C55AD">
      <w:pPr>
        <w:jc w:val="both"/>
        <w:rPr>
          <w:rFonts w:ascii="Times New Roman" w:hAnsi="Times New Roman"/>
        </w:rPr>
      </w:pPr>
    </w:p>
    <w:p w:rsidR="008B6F1D" w:rsidRPr="00D31A33" w:rsidRDefault="00982783" w:rsidP="00982783">
      <w:pPr>
        <w:jc w:val="both"/>
        <w:rPr>
          <w:rFonts w:ascii="Times New Roman" w:eastAsia="Times New Roman" w:hAnsi="Times New Roman"/>
          <w:lang w:eastAsia="pl-PL"/>
        </w:rPr>
      </w:pPr>
      <w:r w:rsidRPr="00D31A33">
        <w:rPr>
          <w:rFonts w:ascii="Times New Roman" w:eastAsia="Times New Roman" w:hAnsi="Times New Roman"/>
          <w:lang w:eastAsia="pl-PL"/>
        </w:rPr>
        <w:lastRenderedPageBreak/>
        <w:t xml:space="preserve">Polecamy również zapoznanie się z materiałami Komisji Europejskiej, dostępnymi na stronie www.podatki.gov.pl/clo/brexit/: </w:t>
      </w:r>
      <w:r w:rsidRPr="00D31A33">
        <w:rPr>
          <w:rFonts w:ascii="Times New Roman" w:eastAsia="Times New Roman" w:hAnsi="Times New Roman"/>
          <w:i/>
          <w:lang w:eastAsia="pl-PL"/>
        </w:rPr>
        <w:t xml:space="preserve">Wskazówki. Wystąpienie Zjednoczonego Królestwa z UE a przepisy UE w dziedzinie ceł, w tym preferencyjnego pochodzenia </w:t>
      </w:r>
      <w:r w:rsidRPr="00D31A33">
        <w:rPr>
          <w:rFonts w:ascii="Times New Roman" w:eastAsia="Times New Roman" w:hAnsi="Times New Roman"/>
          <w:lang w:eastAsia="pl-PL"/>
        </w:rPr>
        <w:t>oraz</w:t>
      </w:r>
      <w:r w:rsidRPr="00D31A33">
        <w:rPr>
          <w:rFonts w:ascii="Times New Roman" w:eastAsia="Times New Roman" w:hAnsi="Times New Roman"/>
          <w:i/>
          <w:lang w:eastAsia="pl-PL"/>
        </w:rPr>
        <w:t xml:space="preserve"> Scenariusze dotyczące wywozu</w:t>
      </w:r>
      <w:r w:rsidRPr="00D31A33">
        <w:rPr>
          <w:rFonts w:ascii="Times New Roman" w:eastAsia="Times New Roman" w:hAnsi="Times New Roman"/>
          <w:lang w:eastAsia="pl-PL"/>
        </w:rPr>
        <w:t>.</w:t>
      </w:r>
    </w:p>
    <w:p w:rsidR="001D3BF4" w:rsidRPr="00D31A33" w:rsidRDefault="001D3BF4">
      <w:pPr>
        <w:rPr>
          <w:rFonts w:ascii="Times New Roman" w:hAnsi="Times New Roman"/>
        </w:rPr>
      </w:pPr>
    </w:p>
    <w:sectPr w:rsidR="001D3BF4" w:rsidRPr="00D31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1820"/>
    <w:multiLevelType w:val="hybridMultilevel"/>
    <w:tmpl w:val="E6864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B53DC3"/>
    <w:multiLevelType w:val="hybridMultilevel"/>
    <w:tmpl w:val="ED30E104"/>
    <w:lvl w:ilvl="0" w:tplc="18BAF570">
      <w:start w:val="1"/>
      <w:numFmt w:val="decimal"/>
      <w:lvlText w:val="%1)"/>
      <w:lvlJc w:val="left"/>
      <w:pPr>
        <w:ind w:left="720"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481893"/>
    <w:multiLevelType w:val="hybridMultilevel"/>
    <w:tmpl w:val="FED6DF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AD"/>
    <w:rsid w:val="001D3BF4"/>
    <w:rsid w:val="002021E8"/>
    <w:rsid w:val="00202F94"/>
    <w:rsid w:val="0020450B"/>
    <w:rsid w:val="00250E01"/>
    <w:rsid w:val="00252649"/>
    <w:rsid w:val="002B38A0"/>
    <w:rsid w:val="002C7B4B"/>
    <w:rsid w:val="00351EA2"/>
    <w:rsid w:val="00445D43"/>
    <w:rsid w:val="00492F5A"/>
    <w:rsid w:val="00551D93"/>
    <w:rsid w:val="00696D50"/>
    <w:rsid w:val="006C450D"/>
    <w:rsid w:val="00757356"/>
    <w:rsid w:val="007C55AD"/>
    <w:rsid w:val="008D5CD1"/>
    <w:rsid w:val="008E1828"/>
    <w:rsid w:val="009226D6"/>
    <w:rsid w:val="00957248"/>
    <w:rsid w:val="00982783"/>
    <w:rsid w:val="009B09D7"/>
    <w:rsid w:val="00BB36CF"/>
    <w:rsid w:val="00BD0029"/>
    <w:rsid w:val="00C23394"/>
    <w:rsid w:val="00C7631D"/>
    <w:rsid w:val="00CF1A38"/>
    <w:rsid w:val="00D16AC3"/>
    <w:rsid w:val="00D31A33"/>
    <w:rsid w:val="00DA79C5"/>
    <w:rsid w:val="00E46569"/>
    <w:rsid w:val="00EF41C8"/>
    <w:rsid w:val="00F55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130D3-FC7B-4631-82AD-EC44265E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55AD"/>
    <w:pPr>
      <w:spacing w:after="0" w:line="240" w:lineRule="auto"/>
    </w:pPr>
    <w:rPr>
      <w:rFonts w:ascii="Cambria" w:eastAsia="Cambria" w:hAnsi="Cambri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2649"/>
    <w:pPr>
      <w:ind w:left="720"/>
      <w:contextualSpacing/>
    </w:pPr>
  </w:style>
  <w:style w:type="character" w:styleId="Hipercze">
    <w:name w:val="Hyperlink"/>
    <w:basedOn w:val="Domylnaczcionkaakapitu"/>
    <w:uiPriority w:val="99"/>
    <w:unhideWhenUsed/>
    <w:rsid w:val="00DA79C5"/>
    <w:rPr>
      <w:color w:val="0563C1" w:themeColor="hyperlink"/>
      <w:u w:val="single"/>
    </w:rPr>
  </w:style>
  <w:style w:type="paragraph" w:styleId="Tekstdymka">
    <w:name w:val="Balloon Text"/>
    <w:basedOn w:val="Normalny"/>
    <w:link w:val="TekstdymkaZnak"/>
    <w:uiPriority w:val="99"/>
    <w:semiHidden/>
    <w:unhideWhenUsed/>
    <w:rsid w:val="007573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7356"/>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23738">
      <w:bodyDiv w:val="1"/>
      <w:marLeft w:val="0"/>
      <w:marRight w:val="0"/>
      <w:marTop w:val="0"/>
      <w:marBottom w:val="0"/>
      <w:divBdr>
        <w:top w:val="none" w:sz="0" w:space="0" w:color="auto"/>
        <w:left w:val="none" w:sz="0" w:space="0" w:color="auto"/>
        <w:bottom w:val="none" w:sz="0" w:space="0" w:color="auto"/>
        <w:right w:val="none" w:sz="0" w:space="0" w:color="auto"/>
      </w:divBdr>
    </w:div>
    <w:div w:id="190732558">
      <w:bodyDiv w:val="1"/>
      <w:marLeft w:val="0"/>
      <w:marRight w:val="0"/>
      <w:marTop w:val="0"/>
      <w:marBottom w:val="0"/>
      <w:divBdr>
        <w:top w:val="none" w:sz="0" w:space="0" w:color="auto"/>
        <w:left w:val="none" w:sz="0" w:space="0" w:color="auto"/>
        <w:bottom w:val="none" w:sz="0" w:space="0" w:color="auto"/>
        <w:right w:val="none" w:sz="0" w:space="0" w:color="auto"/>
      </w:divBdr>
      <w:divsChild>
        <w:div w:id="533464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5316</Characters>
  <Application>Microsoft Office Word</Application>
  <DocSecurity>4</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2020-11-25T08:55:00Z</dcterms:created>
  <dcterms:modified xsi:type="dcterms:W3CDTF">2020-11-25T08:55:00Z</dcterms:modified>
</cp:coreProperties>
</file>