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486" w:rsidRPr="002162D6" w:rsidRDefault="00A73486" w:rsidP="002162D6">
      <w:pPr>
        <w:spacing w:before="120" w:after="120" w:line="276" w:lineRule="auto"/>
        <w:rPr>
          <w:rFonts w:ascii="Arial" w:eastAsiaTheme="majorEastAsia" w:hAnsi="Arial" w:cs="Arial"/>
          <w:color w:val="365F91" w:themeColor="accent1" w:themeShade="BF"/>
        </w:rPr>
      </w:pPr>
      <w:r w:rsidRPr="002162D6">
        <w:rPr>
          <w:rFonts w:ascii="Arial" w:hAnsi="Arial" w:cs="Arial"/>
          <w:noProof/>
          <w:lang w:eastAsia="pl-PL"/>
        </w:rPr>
        <mc:AlternateContent>
          <mc:Choice Requires="wps">
            <w:drawing>
              <wp:anchor distT="0" distB="0" distL="114300" distR="114300" simplePos="0" relativeHeight="251650048" behindDoc="0" locked="0" layoutInCell="1" allowOverlap="1" wp14:anchorId="23216122" wp14:editId="52980D2C">
                <wp:simplePos x="0" y="0"/>
                <wp:positionH relativeFrom="page">
                  <wp:posOffset>227431</wp:posOffset>
                </wp:positionH>
                <wp:positionV relativeFrom="page">
                  <wp:posOffset>611962</wp:posOffset>
                </wp:positionV>
                <wp:extent cx="1712890" cy="3840480"/>
                <wp:effectExtent l="0" t="0" r="1270" b="0"/>
                <wp:wrapNone/>
                <wp:docPr id="138" name="Pole tekstowe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5"/>
                              <w:gridCol w:w="5441"/>
                            </w:tblGrid>
                            <w:tr w:rsidR="00A73486">
                              <w:trPr>
                                <w:jc w:val="center"/>
                              </w:trPr>
                              <w:tc>
                                <w:tcPr>
                                  <w:tcW w:w="2568" w:type="pct"/>
                                  <w:vAlign w:val="center"/>
                                </w:tcPr>
                                <w:p w:rsidR="00A73486" w:rsidRDefault="00A73486">
                                  <w:pPr>
                                    <w:jc w:val="right"/>
                                  </w:pPr>
                                  <w:r>
                                    <w:rPr>
                                      <w:noProof/>
                                      <w:lang w:eastAsia="pl-PL"/>
                                    </w:rPr>
                                    <w:drawing>
                                      <wp:inline distT="0" distB="0" distL="0" distR="0" wp14:anchorId="38E25026" wp14:editId="5D298264">
                                        <wp:extent cx="3065006" cy="2932189"/>
                                        <wp:effectExtent l="0" t="0" r="2540" b="1905"/>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2932189"/>
                                                </a:xfrm>
                                                <a:prstGeom prst="rect">
                                                  <a:avLst/>
                                                </a:prstGeom>
                                              </pic:spPr>
                                            </pic:pic>
                                          </a:graphicData>
                                        </a:graphic>
                                      </wp:inline>
                                    </w:drawing>
                                  </w:r>
                                </w:p>
                                <w:sdt>
                                  <w:sdtPr>
                                    <w:rPr>
                                      <w:caps/>
                                      <w:color w:val="191919" w:themeColor="text1" w:themeTint="E6"/>
                                      <w:sz w:val="72"/>
                                      <w:szCs w:val="72"/>
                                    </w:rPr>
                                    <w:alias w:val="Tytuł"/>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A73486" w:rsidRDefault="00A73486">
                                      <w:pPr>
                                        <w:pStyle w:val="Bezodstpw"/>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A73486" w:rsidRDefault="00A73486" w:rsidP="001E1854">
                                  <w:pPr>
                                    <w:jc w:val="right"/>
                                  </w:pPr>
                                </w:p>
                              </w:tc>
                              <w:tc>
                                <w:tcPr>
                                  <w:tcW w:w="2432" w:type="pct"/>
                                  <w:vAlign w:val="center"/>
                                </w:tcPr>
                                <w:p w:rsidR="00A73486" w:rsidRPr="003C6719" w:rsidRDefault="00A73486" w:rsidP="00BB52D9">
                                  <w:pPr>
                                    <w:rPr>
                                      <w:rFonts w:ascii="Arial" w:hAnsi="Arial" w:cs="Arial"/>
                                    </w:rPr>
                                  </w:pPr>
                                  <w:r w:rsidRPr="003C6719">
                                    <w:rPr>
                                      <w:rFonts w:ascii="Arial" w:hAnsi="Arial" w:cs="Arial"/>
                                      <w:b/>
                                    </w:rPr>
                                    <w:t xml:space="preserve">Podstawowe informacje na temat </w:t>
                                  </w:r>
                                  <w:r w:rsidR="00BB52D9" w:rsidRPr="003C6719">
                                    <w:rPr>
                                      <w:rFonts w:ascii="Arial" w:hAnsi="Arial" w:cs="Arial"/>
                                      <w:b/>
                                    </w:rPr>
                                    <w:t>zezwolenia na przyjmowanie zakładów wzajemnych</w:t>
                                  </w:r>
                                  <w:r w:rsidR="00BB52D9" w:rsidRPr="003C6719">
                                    <w:rPr>
                                      <w:rFonts w:ascii="Arial" w:hAnsi="Arial" w:cs="Arial"/>
                                    </w:rPr>
                                    <w:t xml:space="preserve"> </w:t>
                                  </w:r>
                                  <w:r w:rsidRPr="003C6719">
                                    <w:rPr>
                                      <w:rFonts w:ascii="Arial" w:hAnsi="Arial" w:cs="Arial"/>
                                    </w:rPr>
                                    <w:t xml:space="preserve"> </w:t>
                                  </w:r>
                                </w:p>
                              </w:tc>
                            </w:tr>
                          </w:tbl>
                          <w:p w:rsidR="00A73486" w:rsidRDefault="00A73486" w:rsidP="00A7348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3216122" id="_x0000_t202" coordsize="21600,21600" o:spt="202" path="m,l,21600r21600,l21600,xe">
                <v:stroke joinstyle="miter"/>
                <v:path gradientshapeok="t" o:connecttype="rect"/>
              </v:shapetype>
              <v:shape id="Pole tekstowe 138" o:spid="_x0000_s1026" type="#_x0000_t202" style="position:absolute;margin-left:17.9pt;margin-top:48.2pt;width:134.85pt;height:302.4pt;z-index:251650048;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5"/>
                        <w:gridCol w:w="5441"/>
                      </w:tblGrid>
                      <w:tr w:rsidR="00A73486">
                        <w:trPr>
                          <w:jc w:val="center"/>
                        </w:trPr>
                        <w:tc>
                          <w:tcPr>
                            <w:tcW w:w="2568" w:type="pct"/>
                            <w:vAlign w:val="center"/>
                          </w:tcPr>
                          <w:p w:rsidR="00A73486" w:rsidRDefault="00A73486">
                            <w:pPr>
                              <w:jc w:val="right"/>
                            </w:pPr>
                            <w:r>
                              <w:rPr>
                                <w:noProof/>
                                <w:lang w:eastAsia="pl-PL"/>
                              </w:rPr>
                              <w:drawing>
                                <wp:inline distT="0" distB="0" distL="0" distR="0" wp14:anchorId="38E25026" wp14:editId="5D298264">
                                  <wp:extent cx="3065006" cy="2932189"/>
                                  <wp:effectExtent l="0" t="0" r="2540" b="1905"/>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2932189"/>
                                          </a:xfrm>
                                          <a:prstGeom prst="rect">
                                            <a:avLst/>
                                          </a:prstGeom>
                                        </pic:spPr>
                                      </pic:pic>
                                    </a:graphicData>
                                  </a:graphic>
                                </wp:inline>
                              </w:drawing>
                            </w:r>
                          </w:p>
                          <w:sdt>
                            <w:sdtPr>
                              <w:rPr>
                                <w:caps/>
                                <w:color w:val="191919" w:themeColor="text1" w:themeTint="E6"/>
                                <w:sz w:val="72"/>
                                <w:szCs w:val="72"/>
                              </w:rPr>
                              <w:alias w:val="Tytuł"/>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A73486" w:rsidRDefault="00A73486">
                                <w:pPr>
                                  <w:pStyle w:val="Bezodstpw"/>
                                  <w:spacing w:line="312" w:lineRule="auto"/>
                                  <w:jc w:val="right"/>
                                  <w:rPr>
                                    <w:caps/>
                                    <w:color w:val="191919" w:themeColor="text1" w:themeTint="E6"/>
                                    <w:sz w:val="72"/>
                                    <w:szCs w:val="72"/>
                                  </w:rPr>
                                </w:pPr>
                                <w:r>
                                  <w:rPr>
                                    <w:caps/>
                                    <w:color w:val="191919" w:themeColor="text1" w:themeTint="E6"/>
                                    <w:sz w:val="72"/>
                                    <w:szCs w:val="72"/>
                                  </w:rPr>
                                  <w:t xml:space="preserve">     </w:t>
                                </w:r>
                              </w:p>
                            </w:sdtContent>
                          </w:sdt>
                          <w:p w:rsidR="00A73486" w:rsidRDefault="00A73486" w:rsidP="001E1854">
                            <w:pPr>
                              <w:jc w:val="right"/>
                            </w:pPr>
                          </w:p>
                        </w:tc>
                        <w:tc>
                          <w:tcPr>
                            <w:tcW w:w="2432" w:type="pct"/>
                            <w:vAlign w:val="center"/>
                          </w:tcPr>
                          <w:p w:rsidR="00A73486" w:rsidRPr="003C6719" w:rsidRDefault="00A73486" w:rsidP="00BB52D9">
                            <w:pPr>
                              <w:rPr>
                                <w:rFonts w:ascii="Arial" w:hAnsi="Arial" w:cs="Arial"/>
                              </w:rPr>
                            </w:pPr>
                            <w:r w:rsidRPr="003C6719">
                              <w:rPr>
                                <w:rFonts w:ascii="Arial" w:hAnsi="Arial" w:cs="Arial"/>
                                <w:b/>
                              </w:rPr>
                              <w:t xml:space="preserve">Podstawowe informacje na temat </w:t>
                            </w:r>
                            <w:r w:rsidR="00BB52D9" w:rsidRPr="003C6719">
                              <w:rPr>
                                <w:rFonts w:ascii="Arial" w:hAnsi="Arial" w:cs="Arial"/>
                                <w:b/>
                              </w:rPr>
                              <w:t>zezwolenia na przyjmowanie zakładów wzajemnych</w:t>
                            </w:r>
                            <w:r w:rsidR="00BB52D9" w:rsidRPr="003C6719">
                              <w:rPr>
                                <w:rFonts w:ascii="Arial" w:hAnsi="Arial" w:cs="Arial"/>
                              </w:rPr>
                              <w:t xml:space="preserve"> </w:t>
                            </w:r>
                            <w:r w:rsidRPr="003C6719">
                              <w:rPr>
                                <w:rFonts w:ascii="Arial" w:hAnsi="Arial" w:cs="Arial"/>
                              </w:rPr>
                              <w:t xml:space="preserve"> </w:t>
                            </w:r>
                          </w:p>
                        </w:tc>
                      </w:tr>
                    </w:tbl>
                    <w:p w:rsidR="00A73486" w:rsidRDefault="00A73486" w:rsidP="00A73486"/>
                  </w:txbxContent>
                </v:textbox>
                <w10:wrap anchorx="page" anchory="page"/>
              </v:shape>
            </w:pict>
          </mc:Fallback>
        </mc:AlternateContent>
      </w:r>
      <w:r w:rsidRPr="002162D6">
        <w:rPr>
          <w:rFonts w:ascii="Arial" w:hAnsi="Arial" w:cs="Arial"/>
        </w:rPr>
        <w:br w:type="page"/>
      </w:r>
    </w:p>
    <w:p w:rsidR="001A5E6F" w:rsidRPr="0070131A" w:rsidRDefault="002162D6" w:rsidP="0070131A">
      <w:pPr>
        <w:pStyle w:val="Nagwek1"/>
        <w:spacing w:before="120" w:after="120" w:line="276" w:lineRule="auto"/>
        <w:rPr>
          <w:rFonts w:ascii="Arial" w:hAnsi="Arial" w:cs="Arial"/>
        </w:rPr>
      </w:pPr>
      <w:r w:rsidRPr="0070131A">
        <w:rPr>
          <w:rFonts w:ascii="Arial" w:hAnsi="Arial" w:cs="Arial"/>
        </w:rPr>
        <w:lastRenderedPageBreak/>
        <w:t>Informacje ogólne</w:t>
      </w:r>
    </w:p>
    <w:p w:rsidR="00BB52D9" w:rsidRPr="0070131A" w:rsidRDefault="00BB52D9" w:rsidP="0070131A">
      <w:pPr>
        <w:spacing w:after="160" w:line="259" w:lineRule="auto"/>
        <w:rPr>
          <w:rFonts w:ascii="Arial" w:eastAsia="Calibri" w:hAnsi="Arial" w:cs="Arial"/>
        </w:rPr>
      </w:pPr>
      <w:r w:rsidRPr="0070131A">
        <w:rPr>
          <w:rFonts w:ascii="Arial" w:eastAsia="Calibri" w:hAnsi="Arial" w:cs="Arial"/>
        </w:rPr>
        <w:t>Stosownie do treści art. 2 ust. 2 pkt 1 i 2 ustawy o grach hazardowych</w:t>
      </w:r>
      <w:r w:rsidRPr="0070131A">
        <w:rPr>
          <w:rFonts w:ascii="Arial" w:eastAsia="Calibri" w:hAnsi="Arial" w:cs="Arial"/>
          <w:vertAlign w:val="superscript"/>
        </w:rPr>
        <w:footnoteReference w:id="1"/>
      </w:r>
      <w:r w:rsidRPr="0070131A">
        <w:rPr>
          <w:rFonts w:ascii="Arial" w:eastAsia="Calibri" w:hAnsi="Arial" w:cs="Arial"/>
        </w:rPr>
        <w:t xml:space="preserve">, zakładami wzajemnymi są zakłady o wygrane pieniężne lub rzeczowe, polegające na odgadywaniu: </w:t>
      </w:r>
    </w:p>
    <w:p w:rsidR="00BB52D9" w:rsidRPr="0070131A" w:rsidRDefault="00BB52D9" w:rsidP="0070131A">
      <w:pPr>
        <w:numPr>
          <w:ilvl w:val="0"/>
          <w:numId w:val="5"/>
        </w:numPr>
        <w:spacing w:after="160" w:line="259" w:lineRule="auto"/>
        <w:contextualSpacing/>
        <w:rPr>
          <w:rFonts w:ascii="Arial" w:eastAsia="Times New Roman" w:hAnsi="Arial" w:cs="Arial"/>
          <w:lang w:eastAsia="pl-PL"/>
        </w:rPr>
      </w:pPr>
      <w:r w:rsidRPr="0070131A">
        <w:rPr>
          <w:rFonts w:ascii="Arial" w:eastAsia="Times New Roman" w:hAnsi="Arial" w:cs="Arial"/>
          <w:lang w:eastAsia="pl-PL"/>
        </w:rPr>
        <w:t>wyników sportowego współzawodnictwa ludzi lub zwierząt, w których uczestnicy wpłacają stawki, a wysokość wygranej zależy od łącznej kwoty wpłaconych stawek - totalizatory;</w:t>
      </w:r>
    </w:p>
    <w:p w:rsidR="00BB52D9" w:rsidRPr="0070131A" w:rsidRDefault="00BB52D9" w:rsidP="0070131A">
      <w:pPr>
        <w:numPr>
          <w:ilvl w:val="0"/>
          <w:numId w:val="5"/>
        </w:numPr>
        <w:spacing w:before="120" w:after="120" w:line="259" w:lineRule="auto"/>
        <w:contextualSpacing/>
        <w:rPr>
          <w:rFonts w:ascii="Arial" w:eastAsia="Times New Roman" w:hAnsi="Arial" w:cs="Arial"/>
          <w:lang w:eastAsia="pl-PL"/>
        </w:rPr>
      </w:pPr>
      <w:r w:rsidRPr="0070131A">
        <w:rPr>
          <w:rFonts w:ascii="Arial" w:eastAsia="Times New Roman" w:hAnsi="Arial" w:cs="Arial"/>
          <w:lang w:eastAsia="pl-PL"/>
        </w:rPr>
        <w:t>zaistnienia różnych zdarzeń, w tym zdarzeń wirtualnych, w których uczestnicy wpłacają stawki, a wysokość wygranych zależy od umówionego, między przyjmującym zakład a</w:t>
      </w:r>
      <w:r w:rsidR="00227D8F" w:rsidRPr="0070131A">
        <w:rPr>
          <w:rFonts w:ascii="Arial" w:eastAsia="Times New Roman" w:hAnsi="Arial" w:cs="Arial"/>
          <w:lang w:eastAsia="pl-PL"/>
        </w:rPr>
        <w:t> </w:t>
      </w:r>
      <w:r w:rsidRPr="0070131A">
        <w:rPr>
          <w:rFonts w:ascii="Arial" w:eastAsia="Times New Roman" w:hAnsi="Arial" w:cs="Arial"/>
          <w:lang w:eastAsia="pl-PL"/>
        </w:rPr>
        <w:t xml:space="preserve">wpłacającym stawkę, stosunku wpłaty do wygranej – </w:t>
      </w:r>
      <w:proofErr w:type="spellStart"/>
      <w:r w:rsidRPr="0070131A">
        <w:rPr>
          <w:rFonts w:ascii="Arial" w:eastAsia="Times New Roman" w:hAnsi="Arial" w:cs="Arial"/>
          <w:lang w:eastAsia="pl-PL"/>
        </w:rPr>
        <w:t>bukmacherstwo</w:t>
      </w:r>
      <w:proofErr w:type="spellEnd"/>
      <w:r w:rsidRPr="0070131A">
        <w:rPr>
          <w:rFonts w:ascii="Arial" w:eastAsia="Times New Roman" w:hAnsi="Arial" w:cs="Arial"/>
          <w:lang w:eastAsia="pl-PL"/>
        </w:rPr>
        <w:t xml:space="preserve">. </w:t>
      </w:r>
    </w:p>
    <w:p w:rsidR="00BB52D9" w:rsidRPr="0070131A" w:rsidRDefault="00BB52D9" w:rsidP="0070131A">
      <w:pPr>
        <w:spacing w:before="120" w:after="120"/>
        <w:rPr>
          <w:rFonts w:ascii="Arial" w:eastAsia="Times New Roman" w:hAnsi="Arial" w:cs="Arial"/>
          <w:lang w:eastAsia="pl-PL"/>
        </w:rPr>
      </w:pPr>
      <w:r w:rsidRPr="0070131A">
        <w:rPr>
          <w:rFonts w:ascii="Arial" w:eastAsia="Times New Roman" w:hAnsi="Arial" w:cs="Arial"/>
          <w:lang w:eastAsia="pl-PL"/>
        </w:rPr>
        <w:t>Przez zdarzenia wirtualne rozumie się generowane komputerowo zdarzenia dotyczące sportowego współzawodnictwa ludzi lub zwierząt.</w:t>
      </w:r>
    </w:p>
    <w:p w:rsidR="00BB52D9" w:rsidRPr="0070131A" w:rsidRDefault="00BB52D9" w:rsidP="0070131A">
      <w:pPr>
        <w:spacing w:after="120"/>
        <w:rPr>
          <w:rFonts w:ascii="Arial" w:eastAsia="Times New Roman" w:hAnsi="Arial" w:cs="Arial"/>
          <w:lang w:eastAsia="pl-PL"/>
        </w:rPr>
      </w:pPr>
      <w:r w:rsidRPr="0070131A">
        <w:rPr>
          <w:rFonts w:ascii="Arial" w:eastAsia="Times New Roman" w:hAnsi="Arial" w:cs="Arial"/>
          <w:lang w:eastAsia="pl-PL"/>
        </w:rPr>
        <w:t>Przyjmowanie zakładów wzajemnych jest dozwolone - stosownie do udzielonego zezwolenia - wyłącznie w punktach przyjmowania zakładów wzajemnych lub przez sieć Internet na zasadach i</w:t>
      </w:r>
      <w:r w:rsidR="00227D8F" w:rsidRPr="0070131A">
        <w:rPr>
          <w:rFonts w:ascii="Arial" w:eastAsia="Times New Roman" w:hAnsi="Arial" w:cs="Arial"/>
          <w:lang w:eastAsia="pl-PL"/>
        </w:rPr>
        <w:t> </w:t>
      </w:r>
      <w:r w:rsidRPr="0070131A">
        <w:rPr>
          <w:rFonts w:ascii="Arial" w:eastAsia="Times New Roman" w:hAnsi="Arial" w:cs="Arial"/>
          <w:lang w:eastAsia="pl-PL"/>
        </w:rPr>
        <w:t>warunkach określonych w zatwierdzonym regulaminie i udzielonym zezwoleniu, a także wynikających z przepisów ustawy o grach hazardowych.</w:t>
      </w:r>
    </w:p>
    <w:p w:rsidR="00BB52D9" w:rsidRPr="0070131A" w:rsidRDefault="00BB52D9" w:rsidP="0070131A">
      <w:pPr>
        <w:spacing w:before="120" w:after="120" w:line="276" w:lineRule="auto"/>
        <w:rPr>
          <w:rFonts w:ascii="Arial" w:eastAsia="Times New Roman" w:hAnsi="Arial" w:cs="Arial"/>
          <w:lang w:eastAsia="pl-PL"/>
        </w:rPr>
      </w:pPr>
      <w:r w:rsidRPr="0070131A">
        <w:rPr>
          <w:rFonts w:ascii="Arial" w:eastAsia="Calibri" w:hAnsi="Arial" w:cs="Arial"/>
        </w:rPr>
        <w:t xml:space="preserve">Przez punkt przyjmowania zakładów wzajemnych należy rozumieć </w:t>
      </w:r>
      <w:r w:rsidRPr="0070131A">
        <w:rPr>
          <w:rFonts w:ascii="Arial" w:eastAsia="Times New Roman" w:hAnsi="Arial" w:cs="Arial"/>
          <w:lang w:eastAsia="pl-PL"/>
        </w:rPr>
        <w:t xml:space="preserve">wydzielone miejsce, w którym przyjmowane są zakłady totalizatora lub </w:t>
      </w:r>
      <w:proofErr w:type="spellStart"/>
      <w:r w:rsidRPr="0070131A">
        <w:rPr>
          <w:rFonts w:ascii="Arial" w:eastAsia="Times New Roman" w:hAnsi="Arial" w:cs="Arial"/>
          <w:lang w:eastAsia="pl-PL"/>
        </w:rPr>
        <w:t>bukmacherstwa</w:t>
      </w:r>
      <w:proofErr w:type="spellEnd"/>
      <w:r w:rsidRPr="0070131A">
        <w:rPr>
          <w:rFonts w:ascii="Arial" w:eastAsia="Times New Roman" w:hAnsi="Arial" w:cs="Arial"/>
          <w:lang w:eastAsia="pl-PL"/>
        </w:rPr>
        <w:t xml:space="preserve">, na podstawie zatwierdzonego regulaminu. </w:t>
      </w:r>
    </w:p>
    <w:p w:rsidR="00AA11F2" w:rsidRPr="00981B55" w:rsidRDefault="00BB52D9" w:rsidP="0070131A">
      <w:pPr>
        <w:pStyle w:val="Nagwek1"/>
        <w:spacing w:before="120" w:after="120" w:line="276" w:lineRule="auto"/>
        <w:rPr>
          <w:rFonts w:ascii="Arial" w:hAnsi="Arial" w:cs="Arial"/>
          <w:sz w:val="28"/>
          <w:szCs w:val="28"/>
        </w:rPr>
      </w:pPr>
      <w:r w:rsidRPr="00981B55">
        <w:rPr>
          <w:rFonts w:ascii="Arial" w:hAnsi="Arial" w:cs="Arial"/>
          <w:sz w:val="28"/>
          <w:szCs w:val="28"/>
        </w:rPr>
        <w:t xml:space="preserve">Podmioty prowadzące działalność w zakresie zakładów wzajemnych </w:t>
      </w:r>
    </w:p>
    <w:p w:rsidR="00BB52D9" w:rsidRPr="0070131A" w:rsidRDefault="00BB52D9"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 xml:space="preserve">Działalność w zakresie zakładów wzajemnych może być prowadzona jedynie przez spółki akcyjne lub spółki z ograniczoną odpowiedzialnością. Kapitał zakładowy takiej spółki nie może wynosić mniej niż 2 000 000 zł. </w:t>
      </w:r>
    </w:p>
    <w:p w:rsidR="00BE59CE" w:rsidRPr="0070131A" w:rsidRDefault="00BB52D9" w:rsidP="0070131A">
      <w:pPr>
        <w:spacing w:after="120"/>
        <w:rPr>
          <w:rFonts w:ascii="Arial" w:eastAsia="Times New Roman" w:hAnsi="Arial" w:cs="Arial"/>
          <w:sz w:val="28"/>
          <w:szCs w:val="28"/>
          <w:lang w:eastAsia="pl-PL"/>
        </w:rPr>
      </w:pPr>
      <w:r w:rsidRPr="0070131A">
        <w:rPr>
          <w:rFonts w:ascii="Arial" w:eastAsia="Times New Roman" w:hAnsi="Arial" w:cs="Arial"/>
          <w:lang w:eastAsia="pl-PL"/>
        </w:rPr>
        <w:t>Spółki akcyjne lub spółki z ograniczoną odpowiedzialnością albo spółki działające na zasadach właściwych dla tych spółek, które mają siedzibę na terytorium innego państwa członkowskiego Unii Europejskiej lub państwa członkowskiego Europejskiego Stowarzyszenia Wolnego Handlu (EFTA) - strony umowy o Europejskim Obszarze Gospodarczym, mogą prowadzić działalność w</w:t>
      </w:r>
      <w:r w:rsidR="00227D8F" w:rsidRPr="0070131A">
        <w:rPr>
          <w:rFonts w:ascii="Arial" w:eastAsia="Times New Roman" w:hAnsi="Arial" w:cs="Arial"/>
          <w:lang w:eastAsia="pl-PL"/>
        </w:rPr>
        <w:t> </w:t>
      </w:r>
      <w:r w:rsidRPr="0070131A">
        <w:rPr>
          <w:rFonts w:ascii="Arial" w:eastAsia="Times New Roman" w:hAnsi="Arial" w:cs="Arial"/>
          <w:lang w:eastAsia="pl-PL"/>
        </w:rPr>
        <w:t xml:space="preserve">zakresie </w:t>
      </w:r>
      <w:r w:rsidR="00360C36" w:rsidRPr="0070131A">
        <w:rPr>
          <w:rFonts w:ascii="Arial" w:eastAsia="Times New Roman" w:hAnsi="Arial" w:cs="Arial"/>
          <w:lang w:eastAsia="pl-PL"/>
        </w:rPr>
        <w:t>przyj</w:t>
      </w:r>
      <w:r w:rsidRPr="0070131A">
        <w:rPr>
          <w:rFonts w:ascii="Arial" w:eastAsia="Times New Roman" w:hAnsi="Arial" w:cs="Arial"/>
          <w:lang w:eastAsia="pl-PL"/>
        </w:rPr>
        <w:t xml:space="preserve">mowania zakładów wzajemnych pod warunkiem ustanowienia przedstawiciela bądź w formie oddziału.  </w:t>
      </w:r>
    </w:p>
    <w:p w:rsidR="00DE6641" w:rsidRPr="00981B55" w:rsidRDefault="00DE6641" w:rsidP="0070131A">
      <w:pPr>
        <w:pStyle w:val="Nagwek1"/>
        <w:spacing w:before="120" w:after="120" w:line="276" w:lineRule="auto"/>
        <w:rPr>
          <w:rFonts w:ascii="Arial" w:hAnsi="Arial" w:cs="Arial"/>
          <w:sz w:val="28"/>
          <w:szCs w:val="28"/>
        </w:rPr>
      </w:pPr>
      <w:r w:rsidRPr="00981B55">
        <w:rPr>
          <w:rFonts w:ascii="Arial" w:hAnsi="Arial" w:cs="Arial"/>
          <w:sz w:val="28"/>
          <w:szCs w:val="28"/>
        </w:rPr>
        <w:t>Przedstawiciel</w:t>
      </w:r>
    </w:p>
    <w:p w:rsidR="00EA14A4" w:rsidRPr="0070131A" w:rsidRDefault="00EA14A4" w:rsidP="0070131A">
      <w:pPr>
        <w:spacing w:before="120" w:after="120" w:line="276" w:lineRule="auto"/>
        <w:rPr>
          <w:rFonts w:ascii="Arial" w:hAnsi="Arial" w:cs="Arial"/>
        </w:rPr>
      </w:pPr>
      <w:r w:rsidRPr="0070131A">
        <w:rPr>
          <w:rFonts w:ascii="Arial" w:hAnsi="Arial" w:cs="Arial"/>
        </w:rPr>
        <w:t>Przedstawicielem może być prowadząca na terytorium Rzeczypospolitej Polskiej działalność gospodarczą:</w:t>
      </w:r>
    </w:p>
    <w:p w:rsidR="00EA14A4" w:rsidRPr="0070131A" w:rsidRDefault="00EA14A4" w:rsidP="0070131A">
      <w:pPr>
        <w:spacing w:before="120" w:after="120" w:line="276" w:lineRule="auto"/>
        <w:rPr>
          <w:rFonts w:ascii="Arial" w:hAnsi="Arial" w:cs="Arial"/>
        </w:rPr>
      </w:pPr>
      <w:r w:rsidRPr="0070131A">
        <w:rPr>
          <w:rFonts w:ascii="Arial" w:hAnsi="Arial" w:cs="Arial"/>
        </w:rPr>
        <w:t>1)  osoba fizyczna, która ma miejsce zamieszkania na terytorium Rzeczypospolitej Polskiej oraz jest w stanie komunikować się w języku polskim w zakresie niezbędnym do wykonywania obowiązków przedstawiciela;</w:t>
      </w:r>
    </w:p>
    <w:p w:rsidR="007A1A78" w:rsidRPr="0070131A" w:rsidRDefault="00EA14A4" w:rsidP="00AE4276">
      <w:pPr>
        <w:spacing w:before="120" w:after="120" w:line="276" w:lineRule="auto"/>
        <w:jc w:val="both"/>
        <w:rPr>
          <w:rFonts w:ascii="Arial" w:hAnsi="Arial" w:cs="Arial"/>
        </w:rPr>
      </w:pPr>
      <w:r w:rsidRPr="0070131A">
        <w:rPr>
          <w:rFonts w:ascii="Arial" w:hAnsi="Arial" w:cs="Arial"/>
        </w:rPr>
        <w:lastRenderedPageBreak/>
        <w:t>2)  osoba prawna lub jednostka organizacyjna niemająca osobowości prawnej, która ma siedzibę na terytorium Rzeczypospolitej Polskiej oraz w zarządzie której przynajmniej jeden z członków jest w stanie komunikować się w języku polskim w zakresie niezbędnym do wykonywania obowiązków przedstawiciela.</w:t>
      </w:r>
    </w:p>
    <w:p w:rsidR="00DE6641" w:rsidRPr="0070131A" w:rsidRDefault="00DE6641" w:rsidP="00AE4276">
      <w:pPr>
        <w:pStyle w:val="Nagwek1"/>
        <w:spacing w:after="120"/>
        <w:jc w:val="both"/>
        <w:rPr>
          <w:rFonts w:ascii="Arial" w:hAnsi="Arial" w:cs="Arial"/>
        </w:rPr>
      </w:pPr>
      <w:r w:rsidRPr="0070131A">
        <w:rPr>
          <w:rFonts w:ascii="Arial" w:hAnsi="Arial" w:cs="Arial"/>
        </w:rPr>
        <w:t>Dokumentacja</w:t>
      </w:r>
    </w:p>
    <w:p w:rsidR="00AE4276" w:rsidRPr="0070131A" w:rsidRDefault="00AE4276" w:rsidP="00AE4276">
      <w:pPr>
        <w:spacing w:after="120"/>
        <w:jc w:val="both"/>
        <w:rPr>
          <w:rFonts w:ascii="Arial" w:eastAsia="Times New Roman" w:hAnsi="Arial" w:cs="Arial"/>
          <w:lang w:eastAsia="pl-PL"/>
        </w:rPr>
      </w:pPr>
      <w:r w:rsidRPr="0070131A">
        <w:rPr>
          <w:rFonts w:ascii="Arial" w:eastAsia="Times New Roman" w:hAnsi="Arial" w:cs="Arial"/>
          <w:lang w:eastAsia="pl-PL"/>
        </w:rPr>
        <w:t>O zezwolenie na prowadzenie działalności w zakresie zakładów wzajemnych mogą ubiegać się wyłącznie podmioty, które udokumentują:</w:t>
      </w:r>
    </w:p>
    <w:p w:rsidR="00AE4276" w:rsidRPr="0070131A" w:rsidRDefault="00AE4276" w:rsidP="00AE4276">
      <w:pPr>
        <w:spacing w:after="120"/>
        <w:rPr>
          <w:rFonts w:ascii="Arial" w:eastAsia="Times New Roman" w:hAnsi="Arial" w:cs="Arial"/>
          <w:lang w:eastAsia="pl-PL"/>
        </w:rPr>
      </w:pPr>
      <w:r w:rsidRPr="0070131A">
        <w:rPr>
          <w:rFonts w:ascii="Arial" w:eastAsia="Times New Roman" w:hAnsi="Arial" w:cs="Arial"/>
          <w:lang w:eastAsia="pl-PL"/>
        </w:rPr>
        <w:t xml:space="preserve">1) legalność źródeł pochodzenia kapitału; </w:t>
      </w:r>
    </w:p>
    <w:p w:rsidR="00AE4276" w:rsidRPr="0070131A" w:rsidRDefault="00AE4276" w:rsidP="00AE4276">
      <w:pPr>
        <w:spacing w:after="120"/>
        <w:rPr>
          <w:rFonts w:ascii="Arial" w:eastAsia="Times New Roman" w:hAnsi="Arial" w:cs="Arial"/>
          <w:lang w:eastAsia="pl-PL"/>
        </w:rPr>
      </w:pPr>
      <w:r w:rsidRPr="0070131A">
        <w:rPr>
          <w:rFonts w:ascii="Arial" w:eastAsia="Times New Roman" w:hAnsi="Arial" w:cs="Arial"/>
          <w:lang w:eastAsia="pl-PL"/>
        </w:rPr>
        <w:t>2) niezaleganie z zapłatą podatków stanowiących dochód budżetu państwa oraz z zapłatą należności celnych</w:t>
      </w:r>
      <w:r w:rsidRPr="0070131A">
        <w:rPr>
          <w:rFonts w:ascii="Arial" w:eastAsia="Times New Roman" w:hAnsi="Arial" w:cs="Arial"/>
          <w:vertAlign w:val="superscript"/>
          <w:lang w:eastAsia="pl-PL"/>
        </w:rPr>
        <w:footnoteReference w:id="2"/>
      </w:r>
      <w:r w:rsidRPr="0070131A">
        <w:rPr>
          <w:rFonts w:ascii="Arial" w:eastAsia="Times New Roman" w:hAnsi="Arial" w:cs="Arial"/>
          <w:lang w:eastAsia="pl-PL"/>
        </w:rPr>
        <w:t xml:space="preserve">; </w:t>
      </w:r>
    </w:p>
    <w:p w:rsidR="00AE4276" w:rsidRPr="0070131A" w:rsidRDefault="00AE4276" w:rsidP="00AE4276">
      <w:pPr>
        <w:spacing w:after="120"/>
        <w:rPr>
          <w:rFonts w:ascii="Arial" w:eastAsia="Times New Roman" w:hAnsi="Arial" w:cs="Arial"/>
          <w:lang w:eastAsia="pl-PL"/>
        </w:rPr>
      </w:pPr>
      <w:r w:rsidRPr="0070131A">
        <w:rPr>
          <w:rFonts w:ascii="Arial" w:eastAsia="Times New Roman" w:hAnsi="Arial" w:cs="Arial"/>
          <w:lang w:eastAsia="pl-PL"/>
        </w:rPr>
        <w:t>3) niezaleganie z zapłatą składek na ubezpieczenia społeczne oraz na ubezpieczenie zdrowotne.</w:t>
      </w:r>
    </w:p>
    <w:p w:rsidR="00105E68" w:rsidRPr="0070131A" w:rsidRDefault="00105E68" w:rsidP="00AE4276">
      <w:pPr>
        <w:spacing w:before="120" w:after="120" w:line="276" w:lineRule="auto"/>
        <w:jc w:val="both"/>
        <w:rPr>
          <w:rFonts w:ascii="Arial" w:hAnsi="Arial" w:cs="Arial"/>
        </w:rPr>
      </w:pPr>
      <w:r w:rsidRPr="0070131A">
        <w:rPr>
          <w:rFonts w:ascii="Arial" w:hAnsi="Arial" w:cs="Arial"/>
        </w:rPr>
        <w:t>Ponadto spółki muszą udokumentować zgodność działania spółki z właściwymi przepisami regulującymi przeciwdziałanie praniu pieniędzy oraz finansowaniu terroryzmu i dotyczącymi prowadzenia rachunkowości.</w:t>
      </w:r>
    </w:p>
    <w:p w:rsidR="008A345C" w:rsidRPr="0070131A" w:rsidRDefault="00AE4276" w:rsidP="0070131A">
      <w:pPr>
        <w:spacing w:before="120" w:after="120" w:line="276" w:lineRule="auto"/>
        <w:rPr>
          <w:rFonts w:ascii="Arial" w:hAnsi="Arial" w:cs="Arial"/>
        </w:rPr>
      </w:pPr>
      <w:r w:rsidRPr="0070131A">
        <w:rPr>
          <w:rFonts w:ascii="Arial" w:hAnsi="Arial" w:cs="Arial"/>
          <w:noProof/>
          <w:lang w:eastAsia="pl-PL"/>
        </w:rPr>
        <mc:AlternateContent>
          <mc:Choice Requires="wps">
            <w:drawing>
              <wp:anchor distT="0" distB="0" distL="114300" distR="114300" simplePos="0" relativeHeight="251667968" behindDoc="1" locked="0" layoutInCell="1" allowOverlap="1" wp14:anchorId="352FBEFB" wp14:editId="03BE77DB">
                <wp:simplePos x="0" y="0"/>
                <wp:positionH relativeFrom="page">
                  <wp:align>left</wp:align>
                </wp:positionH>
                <wp:positionV relativeFrom="paragraph">
                  <wp:posOffset>377190</wp:posOffset>
                </wp:positionV>
                <wp:extent cx="1381125" cy="4429125"/>
                <wp:effectExtent l="0" t="0" r="9525" b="9525"/>
                <wp:wrapNone/>
                <wp:docPr id="3" name="Pole tekstowe 3"/>
                <wp:cNvGraphicFramePr/>
                <a:graphic xmlns:a="http://schemas.openxmlformats.org/drawingml/2006/main">
                  <a:graphicData uri="http://schemas.microsoft.com/office/word/2010/wordprocessingShape">
                    <wps:wsp>
                      <wps:cNvSpPr txBox="1"/>
                      <wps:spPr>
                        <a:xfrm>
                          <a:off x="0" y="0"/>
                          <a:ext cx="1381125" cy="44291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F99" w:rsidRPr="00D90C90" w:rsidRDefault="00934A36" w:rsidP="007C2F99">
                            <w:pPr>
                              <w:rPr>
                                <w:rFonts w:ascii="Arial" w:hAnsi="Arial" w:cs="Arial"/>
                                <w:sz w:val="16"/>
                                <w:szCs w:val="16"/>
                              </w:rPr>
                            </w:pPr>
                            <w:r w:rsidRPr="00D90C90">
                              <w:rPr>
                                <w:rFonts w:ascii="Arial" w:hAnsi="Arial" w:cs="Arial"/>
                                <w:sz w:val="16"/>
                                <w:szCs w:val="16"/>
                              </w:rPr>
                              <w:t>Minister właściwy do spraw finansów publicznych występuje z wnioskiem do Generalnego Inspektora Informacji Finansowej, Szefa Agencji Bezpieczeństwa Wewnętrznego, Szefa Centralnego Biura Antykorupcyjnego lub Komendanta Głównego Policji</w:t>
                            </w:r>
                            <w:r w:rsidRPr="00D90C90">
                              <w:rPr>
                                <w:rFonts w:ascii="Arial" w:hAnsi="Arial" w:cs="Arial"/>
                                <w:color w:val="000000"/>
                                <w:sz w:val="18"/>
                                <w:szCs w:val="18"/>
                              </w:rPr>
                              <w:t xml:space="preserve"> </w:t>
                            </w:r>
                            <w:r w:rsidR="00A90A5D" w:rsidRPr="00D90C90">
                              <w:rPr>
                                <w:rFonts w:ascii="Arial" w:hAnsi="Arial" w:cs="Arial"/>
                                <w:sz w:val="16"/>
                                <w:szCs w:val="16"/>
                              </w:rPr>
                              <w:t>o przekazanie informacji, czy w </w:t>
                            </w:r>
                            <w:r w:rsidRPr="00D90C90">
                              <w:rPr>
                                <w:rFonts w:ascii="Arial" w:hAnsi="Arial" w:cs="Arial"/>
                                <w:sz w:val="16"/>
                                <w:szCs w:val="16"/>
                              </w:rPr>
                              <w:t>odniesieniu do podmiotów, o których mowa w art. 11 ust. 1 pkt 1 ustawy o grach hazardowych, istnieją uzasadnione zastrzeżenia z punktu widzenia bezpieczeństwa państwa, porządku publicznego, bezpieczeństwa interesów ekonomicznych państwa, a także zagrożeń</w:t>
                            </w:r>
                            <w:r w:rsidRPr="00D90C90">
                              <w:rPr>
                                <w:rFonts w:ascii="Arial" w:hAnsi="Arial" w:cs="Arial"/>
                                <w:color w:val="000000"/>
                                <w:sz w:val="18"/>
                                <w:szCs w:val="18"/>
                              </w:rPr>
                              <w:t xml:space="preserve"> </w:t>
                            </w:r>
                            <w:r w:rsidRPr="00D90C90">
                              <w:rPr>
                                <w:rFonts w:ascii="Arial" w:hAnsi="Arial" w:cs="Arial"/>
                                <w:sz w:val="16"/>
                                <w:szCs w:val="16"/>
                              </w:rPr>
                              <w:t xml:space="preserve">związanych z praniem pieniędzy lub finansowaniem terroryzmu. </w:t>
                            </w:r>
                            <w:r w:rsidR="00D70C7D" w:rsidRPr="00D90C90">
                              <w:rPr>
                                <w:rFonts w:ascii="Arial" w:hAnsi="Arial" w:cs="Arial"/>
                                <w:sz w:val="16"/>
                                <w:szCs w:val="16"/>
                              </w:rPr>
                              <w:t>W </w:t>
                            </w:r>
                            <w:r w:rsidR="006A64FF" w:rsidRPr="00D90C90">
                              <w:rPr>
                                <w:rFonts w:ascii="Arial" w:hAnsi="Arial" w:cs="Arial"/>
                                <w:sz w:val="16"/>
                                <w:szCs w:val="16"/>
                              </w:rPr>
                              <w:t>odpowiedzi powołane służby</w:t>
                            </w:r>
                            <w:r w:rsidR="002D44D9" w:rsidRPr="00D90C90">
                              <w:rPr>
                                <w:rFonts w:ascii="Arial" w:hAnsi="Arial" w:cs="Arial"/>
                                <w:sz w:val="16"/>
                                <w:szCs w:val="16"/>
                              </w:rPr>
                              <w:t xml:space="preserve">, po przeprowadzeniu własnego postępowania, </w:t>
                            </w:r>
                            <w:r w:rsidR="006A64FF" w:rsidRPr="00D90C90">
                              <w:rPr>
                                <w:rFonts w:ascii="Arial" w:hAnsi="Arial" w:cs="Arial"/>
                                <w:sz w:val="16"/>
                                <w:szCs w:val="16"/>
                              </w:rPr>
                              <w:t xml:space="preserve"> przekazują ministrowi informacje o istnieniu lub braku uzasadnionych zastrzeżeń.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FBEFB" id="Pole tekstowe 3" o:spid="_x0000_s1027" type="#_x0000_t202" style="position:absolute;margin-left:0;margin-top:29.7pt;width:108.75pt;height:348.75pt;z-index:-2516485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" fillcolor="#b8cce4 [1300]" stroked="f" strokeweight=".5pt">
                <v:textbox>
                  <w:txbxContent>
                    <w:p w:rsidR="007C2F99" w:rsidRPr="00D90C90" w:rsidRDefault="00934A36" w:rsidP="007C2F99">
                      <w:pPr>
                        <w:rPr>
                          <w:rFonts w:ascii="Arial" w:hAnsi="Arial" w:cs="Arial"/>
                          <w:sz w:val="16"/>
                          <w:szCs w:val="16"/>
                        </w:rPr>
                      </w:pPr>
                      <w:r w:rsidRPr="00D90C90">
                        <w:rPr>
                          <w:rFonts w:ascii="Arial" w:hAnsi="Arial" w:cs="Arial"/>
                          <w:sz w:val="16"/>
                          <w:szCs w:val="16"/>
                        </w:rPr>
                        <w:t>Minister właściwy do spraw finansów publicznych występuje z wnioskiem do Generalnego Inspektora Informacji Finansowej, Szefa Agencji Bezpieczeństwa Wewnętrznego, Szefa Centralnego Biura Antykorupcyjnego lub Komendanta Głównego Policji</w:t>
                      </w:r>
                      <w:r w:rsidRPr="00D90C90">
                        <w:rPr>
                          <w:rFonts w:ascii="Arial" w:hAnsi="Arial" w:cs="Arial"/>
                          <w:color w:val="000000"/>
                          <w:sz w:val="18"/>
                          <w:szCs w:val="18"/>
                        </w:rPr>
                        <w:t xml:space="preserve"> </w:t>
                      </w:r>
                      <w:r w:rsidR="00A90A5D" w:rsidRPr="00D90C90">
                        <w:rPr>
                          <w:rFonts w:ascii="Arial" w:hAnsi="Arial" w:cs="Arial"/>
                          <w:sz w:val="16"/>
                          <w:szCs w:val="16"/>
                        </w:rPr>
                        <w:t>o przekazanie informacji, czy w </w:t>
                      </w:r>
                      <w:r w:rsidRPr="00D90C90">
                        <w:rPr>
                          <w:rFonts w:ascii="Arial" w:hAnsi="Arial" w:cs="Arial"/>
                          <w:sz w:val="16"/>
                          <w:szCs w:val="16"/>
                        </w:rPr>
                        <w:t>odniesieniu do podmiotów, o których mowa w art. 11 ust. 1 pkt 1 ustawy o grach hazardowych, istnieją uzasadnione zastrzeżenia z punktu widzenia bezpieczeństwa państwa, porządku publicznego, bezpieczeństwa interesów ekonomicznych państwa, a także zagrożeń</w:t>
                      </w:r>
                      <w:r w:rsidRPr="00D90C90">
                        <w:rPr>
                          <w:rFonts w:ascii="Arial" w:hAnsi="Arial" w:cs="Arial"/>
                          <w:color w:val="000000"/>
                          <w:sz w:val="18"/>
                          <w:szCs w:val="18"/>
                        </w:rPr>
                        <w:t xml:space="preserve"> </w:t>
                      </w:r>
                      <w:r w:rsidRPr="00D90C90">
                        <w:rPr>
                          <w:rFonts w:ascii="Arial" w:hAnsi="Arial" w:cs="Arial"/>
                          <w:sz w:val="16"/>
                          <w:szCs w:val="16"/>
                        </w:rPr>
                        <w:t xml:space="preserve">związanych z praniem pieniędzy lub finansowaniem terroryzmu. </w:t>
                      </w:r>
                      <w:r w:rsidR="00D70C7D" w:rsidRPr="00D90C90">
                        <w:rPr>
                          <w:rFonts w:ascii="Arial" w:hAnsi="Arial" w:cs="Arial"/>
                          <w:sz w:val="16"/>
                          <w:szCs w:val="16"/>
                        </w:rPr>
                        <w:t>W </w:t>
                      </w:r>
                      <w:r w:rsidR="006A64FF" w:rsidRPr="00D90C90">
                        <w:rPr>
                          <w:rFonts w:ascii="Arial" w:hAnsi="Arial" w:cs="Arial"/>
                          <w:sz w:val="16"/>
                          <w:szCs w:val="16"/>
                        </w:rPr>
                        <w:t>odpowiedzi powołane służby</w:t>
                      </w:r>
                      <w:r w:rsidR="002D44D9" w:rsidRPr="00D90C90">
                        <w:rPr>
                          <w:rFonts w:ascii="Arial" w:hAnsi="Arial" w:cs="Arial"/>
                          <w:sz w:val="16"/>
                          <w:szCs w:val="16"/>
                        </w:rPr>
                        <w:t xml:space="preserve">, po przeprowadzeniu własnego postępowania, </w:t>
                      </w:r>
                      <w:r w:rsidR="006A64FF" w:rsidRPr="00D90C90">
                        <w:rPr>
                          <w:rFonts w:ascii="Arial" w:hAnsi="Arial" w:cs="Arial"/>
                          <w:sz w:val="16"/>
                          <w:szCs w:val="16"/>
                        </w:rPr>
                        <w:t xml:space="preserve"> przekazują ministrowi informacje o istnieniu lub braku uzasadnionych zastrzeżeń.</w:t>
                      </w:r>
                    </w:p>
                  </w:txbxContent>
                </v:textbox>
                <w10:wrap anchorx="page"/>
              </v:shape>
            </w:pict>
          </mc:Fallback>
        </mc:AlternateContent>
      </w:r>
      <w:r w:rsidR="008A345C" w:rsidRPr="0070131A">
        <w:rPr>
          <w:rFonts w:ascii="Arial" w:hAnsi="Arial" w:cs="Arial"/>
        </w:rPr>
        <w:t xml:space="preserve">Działalność w zakresie </w:t>
      </w:r>
      <w:r w:rsidR="00B76306" w:rsidRPr="0070131A">
        <w:rPr>
          <w:rFonts w:ascii="Arial" w:hAnsi="Arial" w:cs="Arial"/>
        </w:rPr>
        <w:t>zakładów wzajemnych</w:t>
      </w:r>
      <w:r w:rsidR="008A345C" w:rsidRPr="0070131A">
        <w:rPr>
          <w:rFonts w:ascii="Arial" w:hAnsi="Arial" w:cs="Arial"/>
        </w:rPr>
        <w:t xml:space="preserve"> może być prowadzona pod warunkiem, że</w:t>
      </w:r>
      <w:r w:rsidR="000D2945" w:rsidRPr="0070131A">
        <w:rPr>
          <w:rFonts w:ascii="Arial" w:hAnsi="Arial" w:cs="Arial"/>
        </w:rPr>
        <w:t>:</w:t>
      </w:r>
      <w:r w:rsidR="008A345C" w:rsidRPr="0070131A">
        <w:rPr>
          <w:rFonts w:ascii="Arial" w:hAnsi="Arial" w:cs="Arial"/>
        </w:rPr>
        <w:t xml:space="preserve"> </w:t>
      </w:r>
    </w:p>
    <w:p w:rsidR="008A345C" w:rsidRPr="0070131A" w:rsidRDefault="008A345C" w:rsidP="0070131A">
      <w:pPr>
        <w:spacing w:before="120" w:after="120" w:line="276" w:lineRule="auto"/>
        <w:ind w:left="851"/>
        <w:rPr>
          <w:rFonts w:ascii="Arial" w:hAnsi="Arial" w:cs="Arial"/>
        </w:rPr>
      </w:pPr>
      <w:r w:rsidRPr="0070131A">
        <w:rPr>
          <w:rFonts w:ascii="Arial" w:hAnsi="Arial" w:cs="Arial"/>
        </w:rPr>
        <w:t xml:space="preserve">1)  wobec spółki lub jej akcjonariuszy (wspólników) posiadających akcje (udziały), </w:t>
      </w:r>
      <w:r w:rsidR="00D76788" w:rsidRPr="0070131A">
        <w:rPr>
          <w:rFonts w:ascii="Arial" w:hAnsi="Arial" w:cs="Arial"/>
        </w:rPr>
        <w:t xml:space="preserve"> </w:t>
      </w:r>
      <w:r w:rsidRPr="0070131A">
        <w:rPr>
          <w:rFonts w:ascii="Arial" w:hAnsi="Arial" w:cs="Arial"/>
        </w:rPr>
        <w:t>których wartość przekracza 10% kapitału zakładowego spółki, lub członków zarządu, rady nadzorczej lub komisji rewizyjnej lub prokurentów spółki będących osobami fizycznymi, osobami prawnymi lub spółkami niemającymi osobowości prawnej, nie istnieją uzasad</w:t>
      </w:r>
      <w:r w:rsidR="00282E83" w:rsidRPr="0070131A">
        <w:rPr>
          <w:rFonts w:ascii="Arial" w:hAnsi="Arial" w:cs="Arial"/>
        </w:rPr>
        <w:t>nione zastrzeżenia z </w:t>
      </w:r>
      <w:r w:rsidRPr="0070131A">
        <w:rPr>
          <w:rFonts w:ascii="Arial" w:hAnsi="Arial" w:cs="Arial"/>
        </w:rPr>
        <w:t>punktu widzenia bezpieczeństwa państwa, porządku publicznego, bezpieczeństwa interesów ekonomicznych państwa, a także przestrzegania przepisów regulujących przeciwdziałanie praniu pieniędzy oraz finansowaniu terroryzmu;</w:t>
      </w:r>
    </w:p>
    <w:p w:rsidR="008A345C" w:rsidRPr="0070131A" w:rsidRDefault="008A345C" w:rsidP="0070131A">
      <w:pPr>
        <w:spacing w:before="120" w:after="120" w:line="276" w:lineRule="auto"/>
        <w:ind w:left="851"/>
        <w:rPr>
          <w:rFonts w:ascii="Arial" w:hAnsi="Arial" w:cs="Arial"/>
        </w:rPr>
      </w:pPr>
      <w:r w:rsidRPr="0070131A">
        <w:rPr>
          <w:rFonts w:ascii="Arial" w:hAnsi="Arial" w:cs="Arial"/>
        </w:rPr>
        <w:t>2)  członkowie zarządu, rady nadzorczej lub komisji rewizyjnej spółki posiadają obywatelstwo polskie lub obywatelstwo państwa członkowskiego Unii Europejskiej, państwa członkowskiego Europejskiego Stowarzyszenia Wolnego Handlu (EFTA) - strony umowy o Europejskim Obszarze</w:t>
      </w:r>
      <w:r w:rsidR="00282E83" w:rsidRPr="0070131A">
        <w:rPr>
          <w:rFonts w:ascii="Arial" w:hAnsi="Arial" w:cs="Arial"/>
        </w:rPr>
        <w:t xml:space="preserve"> Gospodarczym lub </w:t>
      </w:r>
      <w:r w:rsidRPr="0070131A">
        <w:rPr>
          <w:rFonts w:ascii="Arial" w:hAnsi="Arial" w:cs="Arial"/>
        </w:rPr>
        <w:t>Organizacji Współpracy G</w:t>
      </w:r>
      <w:r w:rsidR="00233340" w:rsidRPr="0070131A">
        <w:rPr>
          <w:rFonts w:ascii="Arial" w:hAnsi="Arial" w:cs="Arial"/>
        </w:rPr>
        <w:t>ospodarczej i Rozwoju, z tym że </w:t>
      </w:r>
      <w:r w:rsidR="00282E83" w:rsidRPr="0070131A">
        <w:rPr>
          <w:rFonts w:ascii="Arial" w:hAnsi="Arial" w:cs="Arial"/>
        </w:rPr>
        <w:t>wymogu tego nie </w:t>
      </w:r>
      <w:r w:rsidRPr="0070131A">
        <w:rPr>
          <w:rFonts w:ascii="Arial" w:hAnsi="Arial" w:cs="Arial"/>
        </w:rPr>
        <w:t>stosuje się do spółek, o których mowa w art. 7a ust. 1</w:t>
      </w:r>
      <w:r w:rsidR="00282E83" w:rsidRPr="0070131A">
        <w:rPr>
          <w:rFonts w:ascii="Arial" w:hAnsi="Arial" w:cs="Arial"/>
        </w:rPr>
        <w:t xml:space="preserve"> ustawy o grach hazardowych</w:t>
      </w:r>
      <w:r w:rsidRPr="0070131A">
        <w:rPr>
          <w:rFonts w:ascii="Arial" w:hAnsi="Arial" w:cs="Arial"/>
        </w:rPr>
        <w:t>;</w:t>
      </w:r>
    </w:p>
    <w:p w:rsidR="008A345C" w:rsidRPr="0070131A" w:rsidRDefault="008A345C" w:rsidP="0070131A">
      <w:pPr>
        <w:spacing w:before="120" w:after="120" w:line="276" w:lineRule="auto"/>
        <w:ind w:left="851"/>
        <w:rPr>
          <w:rFonts w:ascii="Arial" w:hAnsi="Arial" w:cs="Arial"/>
        </w:rPr>
      </w:pPr>
      <w:r w:rsidRPr="0070131A">
        <w:rPr>
          <w:rFonts w:ascii="Arial" w:hAnsi="Arial" w:cs="Arial"/>
        </w:rPr>
        <w:t>3)  przed organami wymiaru sprawiedliwości państwa członkowskiego Unii Europejskiej lub państwa członkowskiego Europejskiego Stowarzyszenia Wolnego Handlu (EFTA) - strony umowy o Europejskim Obszarze Gospodarczym nie toczy się postępowanie przeciwko podmiotom wymienionym w pkt 1 w spr</w:t>
      </w:r>
      <w:r w:rsidR="00A90A5D" w:rsidRPr="0070131A">
        <w:rPr>
          <w:rFonts w:ascii="Arial" w:hAnsi="Arial" w:cs="Arial"/>
        </w:rPr>
        <w:t>awach o przestępstwa związane z </w:t>
      </w:r>
      <w:r w:rsidRPr="0070131A">
        <w:rPr>
          <w:rFonts w:ascii="Arial" w:hAnsi="Arial" w:cs="Arial"/>
        </w:rPr>
        <w:t>praniem pieniędzy oraz finansowaniem terroryzmu;</w:t>
      </w:r>
    </w:p>
    <w:p w:rsidR="008A345C" w:rsidRPr="0070131A" w:rsidRDefault="008A345C" w:rsidP="0070131A">
      <w:pPr>
        <w:spacing w:before="120" w:after="120" w:line="276" w:lineRule="auto"/>
        <w:ind w:left="851"/>
        <w:rPr>
          <w:rFonts w:ascii="Arial" w:hAnsi="Arial" w:cs="Arial"/>
        </w:rPr>
      </w:pPr>
      <w:r w:rsidRPr="0070131A">
        <w:rPr>
          <w:rFonts w:ascii="Arial" w:hAnsi="Arial" w:cs="Arial"/>
        </w:rPr>
        <w:t>4)  spółce, o której mowa w pkt 1, w terminie 6 la</w:t>
      </w:r>
      <w:r w:rsidR="002162D6" w:rsidRPr="0070131A">
        <w:rPr>
          <w:rFonts w:ascii="Arial" w:hAnsi="Arial" w:cs="Arial"/>
        </w:rPr>
        <w:t>t przed datą złożenia wniosku o </w:t>
      </w:r>
      <w:r w:rsidRPr="0070131A">
        <w:rPr>
          <w:rFonts w:ascii="Arial" w:hAnsi="Arial" w:cs="Arial"/>
        </w:rPr>
        <w:t>koncesję lub zezwolenie nie cofnięto koncesji lub zezwolenia z powodów określonych w art. 59 ust. 1 pkt 2</w:t>
      </w:r>
      <w:r w:rsidR="000D2945" w:rsidRPr="0070131A">
        <w:rPr>
          <w:rFonts w:ascii="Arial" w:hAnsi="Arial" w:cs="Arial"/>
        </w:rPr>
        <w:t xml:space="preserve"> ustawy z dnia 19 listopada 2009 r. o grach hazardowych</w:t>
      </w:r>
      <w:r w:rsidRPr="0070131A">
        <w:rPr>
          <w:rFonts w:ascii="Arial" w:hAnsi="Arial" w:cs="Arial"/>
        </w:rPr>
        <w:t>;</w:t>
      </w:r>
    </w:p>
    <w:p w:rsidR="008A345C" w:rsidRPr="0070131A" w:rsidRDefault="008A345C" w:rsidP="0070131A">
      <w:pPr>
        <w:spacing w:before="120" w:after="120" w:line="276" w:lineRule="auto"/>
        <w:ind w:left="851"/>
        <w:rPr>
          <w:rFonts w:ascii="Arial" w:hAnsi="Arial" w:cs="Arial"/>
        </w:rPr>
      </w:pPr>
      <w:r w:rsidRPr="0070131A">
        <w:rPr>
          <w:rFonts w:ascii="Arial" w:hAnsi="Arial" w:cs="Arial"/>
        </w:rPr>
        <w:t>5)  akcjonariusze (wspólnicy), o których mowa w pkt 1, nie byli akcjonariuszami (wspólnikami) posiadającymi akcje (udziały), których wartość przekraczała 10% kapitału zakładowego spółki, w spółce, której w terminie 6 lat przed</w:t>
      </w:r>
      <w:r w:rsidR="00A90A5D" w:rsidRPr="0070131A">
        <w:rPr>
          <w:rFonts w:ascii="Arial" w:hAnsi="Arial" w:cs="Arial"/>
        </w:rPr>
        <w:t xml:space="preserve"> datą złożenia wniosku o </w:t>
      </w:r>
      <w:r w:rsidRPr="0070131A">
        <w:rPr>
          <w:rFonts w:ascii="Arial" w:hAnsi="Arial" w:cs="Arial"/>
        </w:rPr>
        <w:t>koncesję lub zezwolenie cof</w:t>
      </w:r>
      <w:r w:rsidR="00150504" w:rsidRPr="0070131A">
        <w:rPr>
          <w:rFonts w:ascii="Arial" w:hAnsi="Arial" w:cs="Arial"/>
        </w:rPr>
        <w:t>nięto koncesję lub zezwolenie z </w:t>
      </w:r>
      <w:r w:rsidRPr="0070131A">
        <w:rPr>
          <w:rFonts w:ascii="Arial" w:hAnsi="Arial" w:cs="Arial"/>
        </w:rPr>
        <w:t>powodów określonych w art. 59 ust. 1 pkt 2</w:t>
      </w:r>
      <w:r w:rsidR="000D2945" w:rsidRPr="0070131A">
        <w:rPr>
          <w:rFonts w:ascii="Arial" w:hAnsi="Arial" w:cs="Arial"/>
        </w:rPr>
        <w:t xml:space="preserve"> ww. ustawy</w:t>
      </w:r>
      <w:r w:rsidRPr="0070131A">
        <w:rPr>
          <w:rFonts w:ascii="Arial" w:hAnsi="Arial" w:cs="Arial"/>
        </w:rPr>
        <w:t>;</w:t>
      </w:r>
    </w:p>
    <w:p w:rsidR="008A345C" w:rsidRPr="0070131A" w:rsidRDefault="008A345C" w:rsidP="0070131A">
      <w:pPr>
        <w:spacing w:before="120" w:after="120" w:line="276" w:lineRule="auto"/>
        <w:ind w:left="851"/>
        <w:rPr>
          <w:rFonts w:ascii="Arial" w:hAnsi="Arial" w:cs="Arial"/>
        </w:rPr>
      </w:pPr>
      <w:r w:rsidRPr="0070131A">
        <w:rPr>
          <w:rFonts w:ascii="Arial" w:hAnsi="Arial" w:cs="Arial"/>
        </w:rPr>
        <w:t>6)  członkowie zarządu, rady nadzorczej lub komis</w:t>
      </w:r>
      <w:r w:rsidR="00150504" w:rsidRPr="0070131A">
        <w:rPr>
          <w:rFonts w:ascii="Arial" w:hAnsi="Arial" w:cs="Arial"/>
        </w:rPr>
        <w:t>ji rewizyjnej lub prokurenci, o </w:t>
      </w:r>
      <w:r w:rsidRPr="0070131A">
        <w:rPr>
          <w:rFonts w:ascii="Arial" w:hAnsi="Arial" w:cs="Arial"/>
        </w:rPr>
        <w:t>których mowa w pkt 1, nie byli członkami zarządu, rady nadzorczej lub komisj</w:t>
      </w:r>
      <w:r w:rsidR="00BD4E7B" w:rsidRPr="0070131A">
        <w:rPr>
          <w:rFonts w:ascii="Arial" w:hAnsi="Arial" w:cs="Arial"/>
        </w:rPr>
        <w:t>i rewizyjnej lub prokurentami w </w:t>
      </w:r>
      <w:r w:rsidRPr="0070131A">
        <w:rPr>
          <w:rFonts w:ascii="Arial" w:hAnsi="Arial" w:cs="Arial"/>
        </w:rPr>
        <w:t>spółce, której w terminie 6 lat przed datą złożenia wniosku o koncesje lub zezwolenie cof</w:t>
      </w:r>
      <w:r w:rsidR="00150504" w:rsidRPr="0070131A">
        <w:rPr>
          <w:rFonts w:ascii="Arial" w:hAnsi="Arial" w:cs="Arial"/>
        </w:rPr>
        <w:t>nięto koncesję lub zezwolenie z </w:t>
      </w:r>
      <w:r w:rsidRPr="0070131A">
        <w:rPr>
          <w:rFonts w:ascii="Arial" w:hAnsi="Arial" w:cs="Arial"/>
        </w:rPr>
        <w:t>powodów określonych w art. 59 ust. 1 pkt 2</w:t>
      </w:r>
      <w:r w:rsidR="000D2945" w:rsidRPr="0070131A">
        <w:rPr>
          <w:rFonts w:ascii="Arial" w:hAnsi="Arial" w:cs="Arial"/>
        </w:rPr>
        <w:t xml:space="preserve"> powołanej ustawy</w:t>
      </w:r>
      <w:r w:rsidRPr="0070131A">
        <w:rPr>
          <w:rFonts w:ascii="Arial" w:hAnsi="Arial" w:cs="Arial"/>
        </w:rPr>
        <w:t>.</w:t>
      </w:r>
    </w:p>
    <w:p w:rsidR="0009031E" w:rsidRPr="0070131A" w:rsidRDefault="0009031E"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Podmiot urządzający zakłady wzajemne przez sieć Internet jest obowiązany zabezpieczyć stosowane dowody udziału w zakładzie wzajemnym przed ingerencją osób nieuprawnionych i zapewnić możliwość weryfikacji ich autentyczności.</w:t>
      </w:r>
    </w:p>
    <w:p w:rsidR="00EA14A4" w:rsidRPr="00981B55" w:rsidRDefault="008A345C" w:rsidP="00D76788">
      <w:pPr>
        <w:pStyle w:val="Nagwek1"/>
        <w:spacing w:before="120" w:after="120" w:line="276" w:lineRule="auto"/>
        <w:jc w:val="both"/>
        <w:rPr>
          <w:rFonts w:ascii="Arial" w:hAnsi="Arial" w:cs="Arial"/>
        </w:rPr>
      </w:pPr>
      <w:r w:rsidRPr="00981B55">
        <w:rPr>
          <w:rFonts w:ascii="Arial" w:hAnsi="Arial" w:cs="Arial"/>
        </w:rPr>
        <w:t xml:space="preserve">Udzielenie </w:t>
      </w:r>
      <w:r w:rsidR="00BE59CE" w:rsidRPr="00981B55">
        <w:rPr>
          <w:rFonts w:ascii="Arial" w:hAnsi="Arial" w:cs="Arial"/>
        </w:rPr>
        <w:t xml:space="preserve">zezwolenia </w:t>
      </w:r>
    </w:p>
    <w:p w:rsidR="00A95ADD" w:rsidRPr="0070131A" w:rsidRDefault="00965911"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Zezwolenie na urządzanie zakładów wzajemnych udziela mister właściwy do spraw finansów publicznych. Jedno zezwolenie jest udzielane na prowadzenie określonej liczby punktów przyjmowania zakładów wzajemnych lub wykorzystywanie określonej liczby stron internetowych do urządzania zakładów wzajemnych. Zezwolenie wydaje się na wniosek, na okres 6 lat.</w:t>
      </w:r>
      <w:r w:rsidR="00EB1689" w:rsidRPr="0070131A">
        <w:rPr>
          <w:rFonts w:ascii="Arial" w:eastAsia="Times New Roman" w:hAnsi="Arial" w:cs="Arial"/>
          <w:lang w:eastAsia="pl-PL"/>
        </w:rPr>
        <w:t xml:space="preserve"> </w:t>
      </w:r>
      <w:r w:rsidR="00682A0F" w:rsidRPr="0070131A">
        <w:rPr>
          <w:rFonts w:ascii="Arial" w:eastAsia="Times New Roman" w:hAnsi="Arial" w:cs="Arial"/>
          <w:lang w:eastAsia="pl-PL"/>
        </w:rPr>
        <w:t xml:space="preserve">Przedmiotowe zezwolenie można jednorazowo przedłużyć na okres 6 lat. </w:t>
      </w:r>
      <w:r w:rsidRPr="0070131A">
        <w:rPr>
          <w:rFonts w:ascii="Arial" w:eastAsia="Times New Roman" w:hAnsi="Arial" w:cs="Arial"/>
          <w:lang w:eastAsia="pl-PL"/>
        </w:rPr>
        <w:t xml:space="preserve"> </w:t>
      </w:r>
    </w:p>
    <w:p w:rsidR="00965911" w:rsidRPr="0070131A" w:rsidRDefault="00965911" w:rsidP="0070131A">
      <w:pPr>
        <w:spacing w:after="120"/>
        <w:rPr>
          <w:rFonts w:ascii="Arial" w:eastAsia="Times New Roman" w:hAnsi="Arial" w:cs="Arial"/>
          <w:lang w:eastAsia="pl-PL"/>
        </w:rPr>
      </w:pPr>
      <w:r w:rsidRPr="0070131A">
        <w:rPr>
          <w:rFonts w:ascii="Arial" w:eastAsia="Times New Roman" w:hAnsi="Arial" w:cs="Arial"/>
          <w:lang w:eastAsia="pl-PL"/>
        </w:rPr>
        <w:t xml:space="preserve">Szczegółowe wymagania co do zawartości wniosku o udzielenie zezwolenia  na urządzanie zakładów wzajemnych zawiera art. </w:t>
      </w:r>
      <w:r w:rsidR="00EB1689" w:rsidRPr="0070131A">
        <w:rPr>
          <w:rFonts w:ascii="Arial" w:eastAsia="Times New Roman" w:hAnsi="Arial" w:cs="Arial"/>
          <w:lang w:eastAsia="pl-PL"/>
        </w:rPr>
        <w:t>36 oraz art. 36</w:t>
      </w:r>
      <w:r w:rsidRPr="0070131A">
        <w:rPr>
          <w:rFonts w:ascii="Arial" w:eastAsia="Times New Roman" w:hAnsi="Arial" w:cs="Arial"/>
          <w:lang w:eastAsia="pl-PL"/>
        </w:rPr>
        <w:t>a ustawy o grach hazardowych</w:t>
      </w:r>
      <w:r w:rsidRPr="0070131A">
        <w:rPr>
          <w:rFonts w:ascii="Arial" w:eastAsia="Times New Roman" w:hAnsi="Arial" w:cs="Arial"/>
          <w:vertAlign w:val="superscript"/>
          <w:lang w:eastAsia="pl-PL"/>
        </w:rPr>
        <w:footnoteReference w:id="3"/>
      </w:r>
      <w:r w:rsidRPr="0070131A">
        <w:rPr>
          <w:rFonts w:ascii="Arial" w:eastAsia="Times New Roman" w:hAnsi="Arial" w:cs="Arial"/>
          <w:lang w:eastAsia="pl-PL"/>
        </w:rPr>
        <w:t xml:space="preserve">. </w:t>
      </w:r>
    </w:p>
    <w:p w:rsidR="00263334" w:rsidRPr="0070131A" w:rsidRDefault="00263334" w:rsidP="0070131A">
      <w:pPr>
        <w:widowControl w:val="0"/>
        <w:autoSpaceDE w:val="0"/>
        <w:autoSpaceDN w:val="0"/>
        <w:adjustRightInd w:val="0"/>
        <w:spacing w:before="20" w:after="120"/>
        <w:rPr>
          <w:rFonts w:ascii="Arial" w:eastAsia="Times New Roman" w:hAnsi="Arial" w:cs="Arial"/>
          <w:color w:val="000000"/>
          <w:lang w:eastAsia="pl-PL"/>
        </w:rPr>
      </w:pPr>
      <w:r w:rsidRPr="0070131A">
        <w:rPr>
          <w:rFonts w:ascii="Arial" w:eastAsia="Times New Roman" w:hAnsi="Arial" w:cs="Arial"/>
          <w:color w:val="000000"/>
          <w:lang w:eastAsia="pl-PL"/>
        </w:rPr>
        <w:t>Zaświadczenia o niezaleganiu w podatkach stanowiących dochód budżetu państwa oraz w składkach na ubezpieczenia społeczne i ubezpieczenie zdrowotne uważa się za aktualne, jeżeli zostały wystawione nie wcześniej niż na miesiąc przed dniem złożenia wniosku. Zaświadczenia, że dana osoba nie była skazana za umyślne przestępstwo lub umyślne przestępstwo skarbowe, uważa się za aktualne, jeżeli zostały one wystawione nie wcześniej niż na 6 miesięcy przed dniem ich przedstawienia. W przypadku nierezydentów będących osobami fizycznymi nieposiadającymi obywatelstwa państwa członkowskiego Unii Europejskiej przedstawia się:</w:t>
      </w:r>
    </w:p>
    <w:p w:rsidR="00263334" w:rsidRPr="0070131A" w:rsidRDefault="00263334" w:rsidP="0070131A">
      <w:pPr>
        <w:widowControl w:val="0"/>
        <w:autoSpaceDE w:val="0"/>
        <w:autoSpaceDN w:val="0"/>
        <w:adjustRightInd w:val="0"/>
        <w:spacing w:after="120"/>
        <w:ind w:left="240"/>
        <w:rPr>
          <w:rFonts w:ascii="Arial" w:eastAsia="Times New Roman" w:hAnsi="Arial" w:cs="Arial"/>
          <w:color w:val="000000"/>
          <w:lang w:eastAsia="pl-PL"/>
        </w:rPr>
      </w:pPr>
      <w:r w:rsidRPr="0070131A">
        <w:rPr>
          <w:rFonts w:ascii="Arial" w:eastAsia="Times New Roman" w:hAnsi="Arial" w:cs="Arial"/>
          <w:bCs/>
          <w:color w:val="000000"/>
          <w:lang w:eastAsia="pl-PL"/>
        </w:rPr>
        <w:t>1)</w:t>
      </w:r>
      <w:r w:rsidRPr="0070131A">
        <w:rPr>
          <w:rFonts w:ascii="Arial" w:eastAsia="Times New Roman" w:hAnsi="Arial" w:cs="Arial"/>
          <w:b/>
          <w:bCs/>
          <w:color w:val="000000"/>
          <w:lang w:eastAsia="pl-PL"/>
        </w:rPr>
        <w:t xml:space="preserve"> </w:t>
      </w:r>
      <w:r w:rsidRPr="0070131A">
        <w:rPr>
          <w:rFonts w:ascii="Arial" w:eastAsia="Times New Roman" w:hAnsi="Arial" w:cs="Arial"/>
          <w:color w:val="000000"/>
          <w:lang w:eastAsia="pl-PL"/>
        </w:rPr>
        <w:t xml:space="preserve"> odpowiednie, uwierzytelnione, aktualne zaświadczenia, że osoby te nie były skazane za umyślne przestępstwo lub umyślne przestępstwo skarbowe, wystawione przez właściwe władze państwa, którego są obywatelami lub stałymi mieszkańcami,</w:t>
      </w:r>
    </w:p>
    <w:p w:rsidR="00263334" w:rsidRPr="0070131A" w:rsidRDefault="00263334" w:rsidP="0070131A">
      <w:pPr>
        <w:widowControl w:val="0"/>
        <w:autoSpaceDE w:val="0"/>
        <w:autoSpaceDN w:val="0"/>
        <w:adjustRightInd w:val="0"/>
        <w:spacing w:after="120"/>
        <w:ind w:left="240"/>
        <w:rPr>
          <w:rFonts w:ascii="Arial" w:eastAsia="Times New Roman" w:hAnsi="Arial" w:cs="Arial"/>
          <w:color w:val="000000"/>
          <w:lang w:eastAsia="pl-PL"/>
        </w:rPr>
      </w:pPr>
      <w:r w:rsidRPr="0070131A">
        <w:rPr>
          <w:rFonts w:ascii="Arial" w:eastAsia="Times New Roman" w:hAnsi="Arial" w:cs="Arial"/>
          <w:bCs/>
          <w:color w:val="000000"/>
          <w:lang w:eastAsia="pl-PL"/>
        </w:rPr>
        <w:t>2)</w:t>
      </w:r>
      <w:r w:rsidRPr="0070131A">
        <w:rPr>
          <w:rFonts w:ascii="Arial" w:eastAsia="Times New Roman" w:hAnsi="Arial" w:cs="Arial"/>
          <w:b/>
          <w:bCs/>
          <w:color w:val="000000"/>
          <w:lang w:eastAsia="pl-PL"/>
        </w:rPr>
        <w:t xml:space="preserve"> </w:t>
      </w:r>
      <w:r w:rsidRPr="0070131A">
        <w:rPr>
          <w:rFonts w:ascii="Arial" w:eastAsia="Times New Roman" w:hAnsi="Arial" w:cs="Arial"/>
          <w:color w:val="000000"/>
          <w:lang w:eastAsia="pl-PL"/>
        </w:rPr>
        <w:t xml:space="preserve"> na żądanie organu udzielającego zezwolenia, że osoby te nie były skazane za umyślne przestępstwo lub umyślne przestępstwo skarbowe na terytorium państwa członkowskiego Unii Europejskiej wskazanego w żądaniu</w:t>
      </w:r>
    </w:p>
    <w:p w:rsidR="00682A0F" w:rsidRPr="0070131A" w:rsidRDefault="00263334" w:rsidP="0070131A">
      <w:pPr>
        <w:widowControl w:val="0"/>
        <w:autoSpaceDE w:val="0"/>
        <w:autoSpaceDN w:val="0"/>
        <w:adjustRightInd w:val="0"/>
        <w:spacing w:before="20" w:after="120"/>
        <w:rPr>
          <w:rFonts w:ascii="Arial" w:eastAsia="Times New Roman" w:hAnsi="Arial" w:cs="Arial"/>
          <w:color w:val="000000"/>
          <w:lang w:eastAsia="pl-PL"/>
        </w:rPr>
      </w:pPr>
      <w:r w:rsidRPr="0070131A">
        <w:rPr>
          <w:rFonts w:ascii="Arial" w:eastAsia="Times New Roman" w:hAnsi="Arial" w:cs="Arial"/>
          <w:color w:val="000000"/>
          <w:lang w:eastAsia="pl-PL"/>
        </w:rPr>
        <w:t>- wystawione nie wcześniej niż na 6 miesięcy przed dniem ich przedstawienia.</w:t>
      </w:r>
    </w:p>
    <w:p w:rsidR="00682A0F" w:rsidRPr="0070131A" w:rsidRDefault="00682A0F" w:rsidP="0070131A">
      <w:pPr>
        <w:spacing w:after="120" w:line="276" w:lineRule="auto"/>
        <w:rPr>
          <w:rFonts w:ascii="Arial" w:eastAsia="Times New Roman" w:hAnsi="Arial" w:cs="Arial"/>
          <w:lang w:eastAsia="pl-PL"/>
        </w:rPr>
      </w:pPr>
      <w:r w:rsidRPr="0070131A">
        <w:rPr>
          <w:rFonts w:ascii="Arial" w:eastAsia="Times New Roman" w:hAnsi="Arial" w:cs="Arial"/>
          <w:lang w:eastAsia="pl-PL"/>
        </w:rPr>
        <w:t>Dokumenty dołączane do wniosku składa się w formie oryginałów lub kopii poświadczonych za zgodność z oryginałem przez notariusza, adwokata lub radcę prawnego. Dokumenty sporządzone w języku obcym lub ich odpisy przedkłada się wraz z uwierzytelnionym tłumaczeniem na język polski.</w:t>
      </w:r>
    </w:p>
    <w:p w:rsidR="00682A0F" w:rsidRPr="0070131A" w:rsidRDefault="00682A0F" w:rsidP="0070131A">
      <w:pPr>
        <w:spacing w:after="120" w:line="276" w:lineRule="auto"/>
        <w:rPr>
          <w:rFonts w:ascii="Arial" w:eastAsia="Times New Roman" w:hAnsi="Arial" w:cs="Arial"/>
          <w:lang w:eastAsia="pl-PL"/>
        </w:rPr>
      </w:pPr>
      <w:r w:rsidRPr="0070131A">
        <w:rPr>
          <w:rFonts w:ascii="Arial" w:eastAsia="Times New Roman" w:hAnsi="Arial" w:cs="Arial"/>
          <w:lang w:eastAsia="pl-PL"/>
        </w:rPr>
        <w:t>W przypadku gdy wymagane jest przedłożenie zaświadczeń dokumentujących spełnienie warunków określonych w art. 34 ust. 1, podmioty, które nie mają siedziby lub miejsca zamieszkania na terytorium Rzeczypospolitej Polskiej przedkładają również wystawione przez właściwe władze państwa ich siedziby lub miejsca zamieszkania aktualne dokumenty dotyczące:</w:t>
      </w:r>
    </w:p>
    <w:p w:rsidR="00682A0F" w:rsidRPr="0070131A" w:rsidRDefault="00682A0F" w:rsidP="0070131A">
      <w:pPr>
        <w:spacing w:after="120" w:line="276" w:lineRule="auto"/>
        <w:rPr>
          <w:rFonts w:ascii="Arial" w:eastAsia="Times New Roman" w:hAnsi="Arial" w:cs="Arial"/>
          <w:lang w:eastAsia="pl-PL"/>
        </w:rPr>
      </w:pPr>
      <w:r w:rsidRPr="0070131A">
        <w:rPr>
          <w:rFonts w:ascii="Arial" w:eastAsia="Times New Roman" w:hAnsi="Arial" w:cs="Arial"/>
          <w:lang w:eastAsia="pl-PL"/>
        </w:rPr>
        <w:t xml:space="preserve">1) legalności źródeł pochodzenia kapitału; </w:t>
      </w:r>
    </w:p>
    <w:p w:rsidR="00682A0F" w:rsidRPr="0070131A" w:rsidRDefault="00682A0F" w:rsidP="0070131A">
      <w:pPr>
        <w:spacing w:after="120" w:line="276" w:lineRule="auto"/>
        <w:rPr>
          <w:rFonts w:ascii="Arial" w:eastAsia="Times New Roman" w:hAnsi="Arial" w:cs="Arial"/>
          <w:lang w:eastAsia="pl-PL"/>
        </w:rPr>
      </w:pPr>
      <w:r w:rsidRPr="0070131A">
        <w:rPr>
          <w:rFonts w:ascii="Arial" w:eastAsia="Times New Roman" w:hAnsi="Arial" w:cs="Arial"/>
          <w:lang w:eastAsia="pl-PL"/>
        </w:rPr>
        <w:t>2) niezalegania z zapłatą należności stanowiących w tym państwie odpowiednik należności, o których mowa w art. 34 ust. 1 pkt 2 i 3.</w:t>
      </w:r>
    </w:p>
    <w:p w:rsidR="00682A0F" w:rsidRPr="0070131A" w:rsidRDefault="00682A0F" w:rsidP="0070131A">
      <w:pPr>
        <w:spacing w:after="120" w:line="276" w:lineRule="auto"/>
        <w:rPr>
          <w:rFonts w:ascii="Arial" w:eastAsia="Times New Roman" w:hAnsi="Arial" w:cs="Arial"/>
          <w:lang w:eastAsia="pl-PL"/>
        </w:rPr>
      </w:pPr>
      <w:r w:rsidRPr="0070131A">
        <w:rPr>
          <w:rFonts w:ascii="Arial" w:eastAsia="Times New Roman" w:hAnsi="Arial" w:cs="Arial"/>
          <w:lang w:eastAsia="pl-PL"/>
        </w:rPr>
        <w:t>W przypadku gdy wymagane jest przedłożenie zaświadczeń o pokryciu udziałów lub akcji z ujawnionych źródeł przychodów, w odniesieniu do akcjonariusza (wspólnika), który nie ma miejsca zamieszkania na terytorium Rzeczypospolitej Polskiej stosuje się również obowiązek przedstawienia aktualnych dokumentów dotyczących pokrycia udziałów lub akcji z takich źródeł, wystawionych przez właściwe władze państwa jego miejsca zamieszkania.</w:t>
      </w:r>
    </w:p>
    <w:p w:rsidR="00682A0F" w:rsidRPr="0070131A" w:rsidRDefault="00682A0F" w:rsidP="0070131A">
      <w:pPr>
        <w:rPr>
          <w:rFonts w:ascii="Arial" w:eastAsia="Times New Roman" w:hAnsi="Arial" w:cs="Arial"/>
          <w:lang w:eastAsia="pl-PL"/>
        </w:rPr>
      </w:pPr>
      <w:r w:rsidRPr="0070131A">
        <w:rPr>
          <w:rFonts w:ascii="Arial" w:eastAsia="Times New Roman" w:hAnsi="Arial" w:cs="Arial"/>
          <w:lang w:eastAsia="pl-PL"/>
        </w:rPr>
        <w:t>W uzasadnionych przypadkach, w szczególności gdy prawo państwa członkowskiego Unii Europejskiej lub państwa członkowskiego Europejskiego Stowarzyszenia Wolnego Handlu (EFTA) - strony umowy o Europejskim Obszarze Gospodarczym nie przewiduje sporządzania dokumentów określonych w art. 57b ust. 1 lub 2, można zamiast tych dokumentów przedłożyć inne dokumenty potwierdzające spełnienie warunków określonych w art. 34 ust. 1.</w:t>
      </w:r>
    </w:p>
    <w:p w:rsidR="00BE59CE" w:rsidRPr="0070131A" w:rsidRDefault="00702E6B" w:rsidP="0070131A">
      <w:pPr>
        <w:rPr>
          <w:rFonts w:ascii="Arial" w:hAnsi="Arial" w:cs="Arial"/>
        </w:rPr>
      </w:pPr>
      <w:r w:rsidRPr="0070131A">
        <w:rPr>
          <w:rFonts w:ascii="Arial" w:hAnsi="Arial" w:cs="Arial"/>
          <w:noProof/>
          <w:lang w:eastAsia="pl-PL"/>
        </w:rPr>
        <mc:AlternateContent>
          <mc:Choice Requires="wps">
            <w:drawing>
              <wp:anchor distT="0" distB="0" distL="114300" distR="114300" simplePos="0" relativeHeight="251664384" behindDoc="1" locked="0" layoutInCell="1" allowOverlap="1" wp14:anchorId="6EC676B0" wp14:editId="4EC42484">
                <wp:simplePos x="0" y="0"/>
                <wp:positionH relativeFrom="column">
                  <wp:posOffset>-481330</wp:posOffset>
                </wp:positionH>
                <wp:positionV relativeFrom="paragraph">
                  <wp:posOffset>264795</wp:posOffset>
                </wp:positionV>
                <wp:extent cx="1206500" cy="131445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1206500" cy="1314450"/>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A42" w:rsidRPr="005D4C7F" w:rsidRDefault="00F87A42" w:rsidP="00A73486">
                            <w:pPr>
                              <w:rPr>
                                <w:rFonts w:ascii="Arial" w:hAnsi="Arial" w:cs="Arial"/>
                                <w:sz w:val="16"/>
                                <w:szCs w:val="16"/>
                              </w:rPr>
                            </w:pPr>
                            <w:r w:rsidRPr="005D4C7F">
                              <w:rPr>
                                <w:rFonts w:ascii="Arial" w:hAnsi="Arial" w:cs="Arial"/>
                                <w:sz w:val="16"/>
                                <w:szCs w:val="16"/>
                              </w:rPr>
                              <w:t xml:space="preserve">Do postępowania w sprawie udzielenia </w:t>
                            </w:r>
                            <w:r w:rsidR="0009513D">
                              <w:rPr>
                                <w:rFonts w:ascii="Arial" w:hAnsi="Arial" w:cs="Arial"/>
                                <w:sz w:val="16"/>
                                <w:szCs w:val="16"/>
                              </w:rPr>
                              <w:t xml:space="preserve">zezwolenia na urządzanie zakładów wzajemnych </w:t>
                            </w:r>
                            <w:r w:rsidRPr="005D4C7F">
                              <w:rPr>
                                <w:rFonts w:ascii="Arial" w:hAnsi="Arial" w:cs="Arial"/>
                                <w:sz w:val="16"/>
                                <w:szCs w:val="16"/>
                              </w:rPr>
                              <w:t xml:space="preserve">stosuje się odpowiednio przepisy ustawy z dnia 29 sierpnia 1997 r. - Ordynacja </w:t>
                            </w:r>
                            <w:r w:rsidR="00450362">
                              <w:rPr>
                                <w:rFonts w:ascii="Arial" w:hAnsi="Arial" w:cs="Arial"/>
                                <w:sz w:val="16"/>
                                <w:szCs w:val="16"/>
                              </w:rPr>
                              <w:t xml:space="preserve"> p</w:t>
                            </w:r>
                            <w:r w:rsidRPr="005D4C7F">
                              <w:rPr>
                                <w:rFonts w:ascii="Arial" w:hAnsi="Arial" w:cs="Arial"/>
                                <w:sz w:val="16"/>
                                <w:szCs w:val="16"/>
                              </w:rPr>
                              <w:t>odatkowa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676B0" id="Pole tekstowe 6" o:spid="_x0000_s1028" type="#_x0000_t202" style="position:absolute;margin-left:-37.9pt;margin-top:20.85pt;width:95pt;height:10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" fillcolor="#b8cce4 [1300]" stroked="f" strokeweight=".5pt">
                <v:textbox>
                  <w:txbxContent>
                    <w:p w:rsidR="00F87A42" w:rsidRPr="005D4C7F" w:rsidRDefault="00F87A42" w:rsidP="00A73486">
                      <w:pPr>
                        <w:rPr>
                          <w:rFonts w:ascii="Arial" w:hAnsi="Arial" w:cs="Arial"/>
                          <w:sz w:val="16"/>
                          <w:szCs w:val="16"/>
                        </w:rPr>
                      </w:pPr>
                      <w:r w:rsidRPr="005D4C7F">
                        <w:rPr>
                          <w:rFonts w:ascii="Arial" w:hAnsi="Arial" w:cs="Arial"/>
                          <w:sz w:val="16"/>
                          <w:szCs w:val="16"/>
                        </w:rPr>
                        <w:t xml:space="preserve">Do postępowania w sprawie udzielenia </w:t>
                      </w:r>
                      <w:r w:rsidR="0009513D">
                        <w:rPr>
                          <w:rFonts w:ascii="Arial" w:hAnsi="Arial" w:cs="Arial"/>
                          <w:sz w:val="16"/>
                          <w:szCs w:val="16"/>
                        </w:rPr>
                        <w:t xml:space="preserve">zezwolenia na urządzanie zakładów wzajemnych </w:t>
                      </w:r>
                      <w:r w:rsidRPr="005D4C7F">
                        <w:rPr>
                          <w:rFonts w:ascii="Arial" w:hAnsi="Arial" w:cs="Arial"/>
                          <w:sz w:val="16"/>
                          <w:szCs w:val="16"/>
                        </w:rPr>
                        <w:t xml:space="preserve">stosuje się odpowiednio przepisy ustawy z dnia 29 sierpnia 1997 r. - Ordynacja </w:t>
                      </w:r>
                      <w:r w:rsidR="00450362">
                        <w:rPr>
                          <w:rFonts w:ascii="Arial" w:hAnsi="Arial" w:cs="Arial"/>
                          <w:sz w:val="16"/>
                          <w:szCs w:val="16"/>
                        </w:rPr>
                        <w:t xml:space="preserve"> p</w:t>
                      </w:r>
                      <w:r w:rsidRPr="005D4C7F">
                        <w:rPr>
                          <w:rFonts w:ascii="Arial" w:hAnsi="Arial" w:cs="Arial"/>
                          <w:sz w:val="16"/>
                          <w:szCs w:val="16"/>
                        </w:rPr>
                        <w:t>odatkowa</w:t>
                      </w:r>
                    </w:p>
                  </w:txbxContent>
                </v:textbox>
              </v:shape>
            </w:pict>
          </mc:Fallback>
        </mc:AlternateContent>
      </w:r>
    </w:p>
    <w:p w:rsidR="00263334" w:rsidRPr="0070131A" w:rsidRDefault="00263334" w:rsidP="009E080C">
      <w:pPr>
        <w:spacing w:before="120" w:after="120" w:line="276" w:lineRule="auto"/>
        <w:ind w:left="1440"/>
        <w:rPr>
          <w:rFonts w:ascii="Arial" w:hAnsi="Arial" w:cs="Arial"/>
          <w:noProof/>
          <w:lang w:eastAsia="pl-PL"/>
        </w:rPr>
      </w:pPr>
      <w:r w:rsidRPr="0070131A">
        <w:rPr>
          <w:rFonts w:ascii="Arial" w:eastAsia="Times New Roman" w:hAnsi="Arial" w:cs="Arial"/>
          <w:lang w:eastAsia="pl-PL"/>
        </w:rPr>
        <w:t>Rozpatrzenie wniosku o udzielenie zezwolenia następuje w terminie 6 miesięcy od dnia złożenia wniosku</w:t>
      </w:r>
      <w:r w:rsidRPr="0070131A">
        <w:rPr>
          <w:rFonts w:ascii="Arial" w:hAnsi="Arial" w:cs="Arial"/>
          <w:noProof/>
          <w:lang w:eastAsia="pl-PL"/>
        </w:rPr>
        <w:t xml:space="preserve">. </w:t>
      </w:r>
    </w:p>
    <w:p w:rsidR="00702E6B" w:rsidRPr="0070131A" w:rsidRDefault="00702E6B" w:rsidP="00702E6B">
      <w:pPr>
        <w:spacing w:after="120"/>
        <w:jc w:val="both"/>
        <w:rPr>
          <w:rFonts w:ascii="Arial" w:eastAsia="Times New Roman" w:hAnsi="Arial" w:cs="Arial"/>
          <w:lang w:eastAsia="pl-PL"/>
        </w:rPr>
      </w:pPr>
      <w:r>
        <w:rPr>
          <w:rFonts w:ascii="Times New Roman" w:eastAsia="Times New Roman" w:hAnsi="Times New Roman"/>
          <w:lang w:eastAsia="pl-PL"/>
        </w:rPr>
        <w:t xml:space="preserve">                       </w:t>
      </w:r>
      <w:r w:rsidRPr="0070131A">
        <w:rPr>
          <w:rFonts w:ascii="Arial" w:eastAsia="Times New Roman" w:hAnsi="Arial" w:cs="Arial"/>
          <w:lang w:eastAsia="pl-PL"/>
        </w:rPr>
        <w:t>Zezwolenie na urządzanie zakładów wzajemnych obejmuje:</w:t>
      </w:r>
    </w:p>
    <w:p w:rsidR="00DF2DE4" w:rsidRPr="0070131A" w:rsidRDefault="00702E6B" w:rsidP="009E080C">
      <w:pPr>
        <w:pStyle w:val="Akapitzlist"/>
        <w:numPr>
          <w:ilvl w:val="0"/>
          <w:numId w:val="3"/>
        </w:numPr>
        <w:spacing w:before="120" w:after="120" w:line="276" w:lineRule="auto"/>
        <w:ind w:left="1701" w:hanging="283"/>
        <w:contextualSpacing w:val="0"/>
        <w:rPr>
          <w:rFonts w:ascii="Arial" w:hAnsi="Arial" w:cs="Arial"/>
        </w:rPr>
      </w:pPr>
      <w:r w:rsidRPr="0070131A">
        <w:rPr>
          <w:rFonts w:ascii="Arial" w:hAnsi="Arial" w:cs="Arial"/>
        </w:rPr>
        <w:t>nazwę spółki</w:t>
      </w:r>
      <w:r w:rsidR="00DF2DE4" w:rsidRPr="0070131A">
        <w:rPr>
          <w:rFonts w:ascii="Arial" w:hAnsi="Arial" w:cs="Arial"/>
        </w:rPr>
        <w:t>;</w:t>
      </w:r>
    </w:p>
    <w:p w:rsidR="00DF2DE4" w:rsidRDefault="00702E6B" w:rsidP="0070131A">
      <w:pPr>
        <w:pStyle w:val="Akapitzlist"/>
        <w:numPr>
          <w:ilvl w:val="0"/>
          <w:numId w:val="3"/>
        </w:numPr>
        <w:spacing w:before="120" w:after="120" w:line="276" w:lineRule="auto"/>
        <w:ind w:left="1701" w:hanging="283"/>
        <w:contextualSpacing w:val="0"/>
        <w:rPr>
          <w:rFonts w:ascii="Arial" w:hAnsi="Arial" w:cs="Arial"/>
        </w:rPr>
      </w:pPr>
      <w:r w:rsidRPr="0070131A">
        <w:rPr>
          <w:rFonts w:ascii="Arial" w:hAnsi="Arial" w:cs="Arial"/>
        </w:rPr>
        <w:t>zatwierdzoną strukturę udziałów lub akcji imiennych, a także nazwiska członków zarządu i rady nadzorczej spółki</w:t>
      </w:r>
      <w:r w:rsidR="00DF2DE4" w:rsidRPr="0070131A">
        <w:rPr>
          <w:rFonts w:ascii="Arial" w:hAnsi="Arial" w:cs="Arial"/>
        </w:rPr>
        <w:t>;</w:t>
      </w:r>
    </w:p>
    <w:p w:rsidR="005A2E0C" w:rsidRDefault="005A2E0C" w:rsidP="00123AFC">
      <w:pPr>
        <w:pStyle w:val="Akapitzlist"/>
        <w:numPr>
          <w:ilvl w:val="0"/>
          <w:numId w:val="3"/>
        </w:numPr>
        <w:spacing w:before="120" w:after="120" w:line="276" w:lineRule="auto"/>
        <w:ind w:left="1701" w:hanging="283"/>
        <w:contextualSpacing w:val="0"/>
        <w:rPr>
          <w:rFonts w:ascii="Arial" w:eastAsia="Times New Roman" w:hAnsi="Arial" w:cs="Arial"/>
          <w:lang w:eastAsia="pl-PL"/>
        </w:rPr>
      </w:pPr>
      <w:r w:rsidRPr="005A2E0C">
        <w:rPr>
          <w:rFonts w:ascii="Arial" w:hAnsi="Arial" w:cs="Arial"/>
        </w:rPr>
        <w:t>miejsce</w:t>
      </w:r>
      <w:r>
        <w:rPr>
          <w:rFonts w:ascii="Arial" w:hAnsi="Arial" w:cs="Arial"/>
        </w:rPr>
        <w:t xml:space="preserve"> </w:t>
      </w:r>
      <w:r w:rsidR="00702E6B" w:rsidRPr="005A2E0C">
        <w:rPr>
          <w:rFonts w:ascii="Arial" w:hAnsi="Arial" w:cs="Arial"/>
        </w:rPr>
        <w:t xml:space="preserve">urządzania i rodzaj zakładów wzajemnych wraz z określeniem, czy zakłady są urządzane </w:t>
      </w:r>
      <w:r w:rsidR="00702E6B" w:rsidRPr="005A2E0C">
        <w:rPr>
          <w:rFonts w:ascii="Arial" w:eastAsia="Times New Roman" w:hAnsi="Arial" w:cs="Arial"/>
          <w:lang w:eastAsia="pl-PL"/>
        </w:rPr>
        <w:t>przez sieć Internet, a w takim przypadku dodatkowo:</w:t>
      </w:r>
    </w:p>
    <w:p w:rsidR="005A2E0C" w:rsidRDefault="005A2E0C" w:rsidP="00185C54">
      <w:pPr>
        <w:pStyle w:val="Akapitzlist"/>
        <w:numPr>
          <w:ilvl w:val="0"/>
          <w:numId w:val="6"/>
        </w:numPr>
        <w:spacing w:before="120" w:after="120" w:line="276" w:lineRule="auto"/>
        <w:contextualSpacing w:val="0"/>
        <w:rPr>
          <w:rFonts w:ascii="Arial" w:eastAsia="Times New Roman" w:hAnsi="Arial" w:cs="Arial"/>
          <w:lang w:eastAsia="pl-PL"/>
        </w:rPr>
      </w:pPr>
      <w:r w:rsidRPr="005A2E0C">
        <w:rPr>
          <w:rFonts w:ascii="Arial" w:eastAsia="Times New Roman" w:hAnsi="Arial" w:cs="Arial"/>
          <w:lang w:eastAsia="pl-PL"/>
        </w:rPr>
        <w:t>adres</w:t>
      </w:r>
      <w:r w:rsidR="00702E6B" w:rsidRPr="005A2E0C">
        <w:rPr>
          <w:rFonts w:ascii="Arial" w:eastAsia="Times New Roman" w:hAnsi="Arial" w:cs="Arial"/>
          <w:lang w:eastAsia="pl-PL"/>
        </w:rPr>
        <w:t xml:space="preserve"> strony internetowej wykorzy</w:t>
      </w:r>
      <w:r w:rsidR="008711A4">
        <w:rPr>
          <w:rFonts w:ascii="Arial" w:eastAsia="Times New Roman" w:hAnsi="Arial" w:cs="Arial"/>
          <w:lang w:eastAsia="pl-PL"/>
        </w:rPr>
        <w:t>stywanej do urządzania zakładów,</w:t>
      </w:r>
    </w:p>
    <w:p w:rsidR="005A2E0C" w:rsidRDefault="005A2E0C" w:rsidP="00EC7DEB">
      <w:pPr>
        <w:pStyle w:val="Akapitzlist"/>
        <w:numPr>
          <w:ilvl w:val="0"/>
          <w:numId w:val="6"/>
        </w:numPr>
        <w:spacing w:before="120" w:after="120" w:line="276" w:lineRule="auto"/>
        <w:contextualSpacing w:val="0"/>
        <w:rPr>
          <w:rFonts w:ascii="Arial" w:eastAsia="Times New Roman" w:hAnsi="Arial" w:cs="Arial"/>
          <w:lang w:eastAsia="pl-PL"/>
        </w:rPr>
      </w:pPr>
      <w:r w:rsidRPr="005A2E0C">
        <w:rPr>
          <w:rFonts w:ascii="Arial" w:eastAsia="Times New Roman" w:hAnsi="Arial" w:cs="Arial"/>
          <w:lang w:eastAsia="pl-PL"/>
        </w:rPr>
        <w:t xml:space="preserve">zasady </w:t>
      </w:r>
      <w:r w:rsidR="00702E6B" w:rsidRPr="005A2E0C">
        <w:rPr>
          <w:rFonts w:ascii="Arial" w:eastAsia="Times New Roman" w:hAnsi="Arial" w:cs="Arial"/>
          <w:lang w:eastAsia="pl-PL"/>
        </w:rPr>
        <w:t>weryfikacji ukończenia 18 roku ż</w:t>
      </w:r>
      <w:r w:rsidR="008711A4">
        <w:rPr>
          <w:rFonts w:ascii="Arial" w:eastAsia="Times New Roman" w:hAnsi="Arial" w:cs="Arial"/>
          <w:lang w:eastAsia="pl-PL"/>
        </w:rPr>
        <w:t>ycia przez uczestników zakładów;</w:t>
      </w:r>
    </w:p>
    <w:p w:rsidR="005A2E0C" w:rsidRDefault="005A2E0C" w:rsidP="006B0944">
      <w:pPr>
        <w:pStyle w:val="Akapitzlist"/>
        <w:numPr>
          <w:ilvl w:val="0"/>
          <w:numId w:val="3"/>
        </w:numPr>
        <w:spacing w:before="120" w:after="120" w:line="276" w:lineRule="auto"/>
        <w:contextualSpacing w:val="0"/>
        <w:rPr>
          <w:rFonts w:ascii="Arial" w:eastAsia="Times New Roman" w:hAnsi="Arial" w:cs="Arial"/>
          <w:lang w:eastAsia="pl-PL"/>
        </w:rPr>
      </w:pPr>
      <w:r w:rsidRPr="005A2E0C">
        <w:rPr>
          <w:rFonts w:ascii="Arial" w:eastAsia="Times New Roman" w:hAnsi="Arial" w:cs="Arial"/>
          <w:lang w:eastAsia="pl-PL"/>
        </w:rPr>
        <w:t xml:space="preserve">warunki, które </w:t>
      </w:r>
      <w:r w:rsidR="00702E6B" w:rsidRPr="005A2E0C">
        <w:rPr>
          <w:rFonts w:ascii="Arial" w:eastAsia="Times New Roman" w:hAnsi="Arial" w:cs="Arial"/>
          <w:lang w:eastAsia="pl-PL"/>
        </w:rPr>
        <w:t>powinna spełniać spółka, w szczególności dotyczące zabezpieczeń, o których mowa w art. 63;</w:t>
      </w:r>
    </w:p>
    <w:p w:rsidR="00702E6B" w:rsidRPr="005A2E0C" w:rsidRDefault="005A2E0C" w:rsidP="00A84551">
      <w:pPr>
        <w:pStyle w:val="Akapitzlist"/>
        <w:numPr>
          <w:ilvl w:val="0"/>
          <w:numId w:val="3"/>
        </w:numPr>
        <w:spacing w:before="120" w:after="120" w:line="276" w:lineRule="auto"/>
        <w:contextualSpacing w:val="0"/>
        <w:rPr>
          <w:rFonts w:ascii="Arial" w:eastAsia="Times New Roman" w:hAnsi="Arial" w:cs="Arial"/>
          <w:lang w:eastAsia="pl-PL"/>
        </w:rPr>
      </w:pPr>
      <w:r>
        <w:rPr>
          <w:rFonts w:ascii="Arial" w:eastAsia="Times New Roman" w:hAnsi="Arial" w:cs="Arial"/>
          <w:lang w:eastAsia="pl-PL"/>
        </w:rPr>
        <w:t xml:space="preserve">nieprzekraczalny </w:t>
      </w:r>
      <w:r w:rsidR="00702E6B" w:rsidRPr="005A2E0C">
        <w:rPr>
          <w:rFonts w:ascii="Arial" w:eastAsia="Times New Roman" w:hAnsi="Arial" w:cs="Arial"/>
          <w:lang w:eastAsia="pl-PL"/>
        </w:rPr>
        <w:t>termin rozpoczęcia działalności.</w:t>
      </w:r>
    </w:p>
    <w:p w:rsidR="00D25E34" w:rsidRPr="0070131A" w:rsidRDefault="00D25E34" w:rsidP="0070131A">
      <w:pPr>
        <w:spacing w:after="120"/>
        <w:rPr>
          <w:rFonts w:ascii="Arial" w:eastAsia="Times New Roman" w:hAnsi="Arial" w:cs="Arial"/>
          <w:lang w:eastAsia="pl-PL"/>
        </w:rPr>
      </w:pPr>
      <w:r w:rsidRPr="0070131A">
        <w:rPr>
          <w:rFonts w:ascii="Arial" w:eastAsia="Times New Roman" w:hAnsi="Arial" w:cs="Arial"/>
          <w:lang w:eastAsia="pl-PL"/>
        </w:rPr>
        <w:t>Nieprzekraczalny termin rozpoczęcia działalności dotyczy rozpoczęcia działalności we wszystkich punktach przyjmowania zakładów wzajemnych i na stronach internetowych, które zostały określone w zezwoleniu.</w:t>
      </w:r>
    </w:p>
    <w:p w:rsidR="00702E6B" w:rsidRPr="0070131A" w:rsidRDefault="00D25E34"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 xml:space="preserve">Zatwierdzone regulaminy zakładów stanowią załącznik do zezwolenia. </w:t>
      </w:r>
    </w:p>
    <w:p w:rsidR="004852DC" w:rsidRPr="00981B55" w:rsidRDefault="004852DC" w:rsidP="00D76788">
      <w:pPr>
        <w:pStyle w:val="Nagwek1"/>
        <w:spacing w:before="120" w:after="120" w:line="276" w:lineRule="auto"/>
        <w:rPr>
          <w:rFonts w:ascii="Arial" w:hAnsi="Arial" w:cs="Arial"/>
        </w:rPr>
      </w:pPr>
      <w:r w:rsidRPr="00981B55">
        <w:rPr>
          <w:rFonts w:ascii="Arial" w:hAnsi="Arial" w:cs="Arial"/>
        </w:rPr>
        <w:t>Opłaty</w:t>
      </w:r>
    </w:p>
    <w:p w:rsidR="00D25E34" w:rsidRPr="0070131A" w:rsidRDefault="00D25E34"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 xml:space="preserve">Podmiot, który uzyskał zezwolenie na urządzanie zakładów wzajemnych, jest zobowiązany uiścić opłatę za udzielenie zezwolenia. Opłata ta wynosi 2000% kwoty bazowej oraz dodatkowo: </w:t>
      </w:r>
    </w:p>
    <w:p w:rsidR="00D25E34" w:rsidRPr="0070131A" w:rsidRDefault="00D25E34" w:rsidP="0070131A">
      <w:pPr>
        <w:spacing w:after="120" w:line="259" w:lineRule="auto"/>
        <w:rPr>
          <w:rFonts w:ascii="Arial" w:eastAsia="Times New Roman" w:hAnsi="Arial" w:cs="Arial"/>
          <w:lang w:eastAsia="pl-PL"/>
        </w:rPr>
      </w:pPr>
      <w:r w:rsidRPr="0070131A">
        <w:rPr>
          <w:rFonts w:ascii="Arial" w:eastAsia="Times New Roman" w:hAnsi="Arial" w:cs="Arial"/>
          <w:lang w:eastAsia="pl-PL"/>
        </w:rPr>
        <w:t>a) za każdy punkt przyjmowania zakładów</w:t>
      </w:r>
      <w:r w:rsidR="008711A4">
        <w:rPr>
          <w:rFonts w:ascii="Arial" w:eastAsia="Times New Roman" w:hAnsi="Arial" w:cs="Arial"/>
          <w:lang w:eastAsia="pl-PL"/>
        </w:rPr>
        <w:t xml:space="preserve"> wzajemnych - 50% kwoty bazowej,</w:t>
      </w:r>
      <w:r w:rsidRPr="0070131A">
        <w:rPr>
          <w:rFonts w:ascii="Arial" w:eastAsia="Times New Roman" w:hAnsi="Arial" w:cs="Arial"/>
          <w:lang w:eastAsia="pl-PL"/>
        </w:rPr>
        <w:t xml:space="preserve"> </w:t>
      </w:r>
    </w:p>
    <w:p w:rsidR="00D25E34" w:rsidRPr="0070131A" w:rsidRDefault="00D25E34" w:rsidP="0070131A">
      <w:pPr>
        <w:spacing w:after="120" w:line="259" w:lineRule="auto"/>
        <w:rPr>
          <w:rFonts w:ascii="Arial" w:eastAsia="Times New Roman" w:hAnsi="Arial" w:cs="Arial"/>
          <w:lang w:eastAsia="pl-PL"/>
        </w:rPr>
      </w:pPr>
      <w:r w:rsidRPr="0070131A">
        <w:rPr>
          <w:rFonts w:ascii="Arial" w:eastAsia="Times New Roman" w:hAnsi="Arial" w:cs="Arial"/>
          <w:lang w:eastAsia="pl-PL"/>
        </w:rPr>
        <w:t>b) za urządzanie zakładów wzajemnych przez sieć Internet - 2000% kwoty bazowej</w:t>
      </w:r>
      <w:r w:rsidR="008711A4">
        <w:rPr>
          <w:rFonts w:ascii="Arial" w:eastAsia="Times New Roman" w:hAnsi="Arial" w:cs="Arial"/>
          <w:lang w:eastAsia="pl-PL"/>
        </w:rPr>
        <w:t>,</w:t>
      </w:r>
      <w:r w:rsidRPr="0070131A">
        <w:rPr>
          <w:rFonts w:ascii="Arial" w:eastAsia="Times New Roman" w:hAnsi="Arial" w:cs="Arial"/>
          <w:lang w:eastAsia="pl-PL"/>
        </w:rPr>
        <w:t xml:space="preserve"> </w:t>
      </w:r>
    </w:p>
    <w:p w:rsidR="00D25E34" w:rsidRPr="0070131A" w:rsidRDefault="00D25E34" w:rsidP="0070131A">
      <w:pPr>
        <w:spacing w:after="120" w:line="259" w:lineRule="auto"/>
        <w:rPr>
          <w:rFonts w:ascii="Arial" w:eastAsia="Times New Roman" w:hAnsi="Arial" w:cs="Arial"/>
          <w:lang w:eastAsia="pl-PL"/>
        </w:rPr>
      </w:pPr>
      <w:r w:rsidRPr="0070131A">
        <w:rPr>
          <w:rFonts w:ascii="Arial" w:eastAsia="Times New Roman" w:hAnsi="Arial" w:cs="Arial"/>
          <w:lang w:eastAsia="pl-PL"/>
        </w:rPr>
        <w:t xml:space="preserve">c) za każdą stronę internetową wykorzystywaną do urządzania zakładów wzajemnych - 5000% kwoty bazowej. </w:t>
      </w:r>
    </w:p>
    <w:p w:rsidR="00D25E34" w:rsidRPr="0070131A" w:rsidRDefault="00D25E34"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Kwota bazowa dla danego roku kalendarzowego jest równa kwocie przeciętnego miesięcznego wynagrodzenia w sektorze przedsiębiorstw bez wypłat nagród z zysku, w drugim kwartale roku poprzedniego, ogłoszonego w obwieszczeniu Prezesa Głównego Urzędu Statystycznego w Dzienniku Urzędowym Głównego Urzędu Statystycznego.</w:t>
      </w:r>
    </w:p>
    <w:p w:rsidR="004852DC" w:rsidRPr="00981B55" w:rsidRDefault="004852DC" w:rsidP="00D76788">
      <w:pPr>
        <w:pStyle w:val="Nagwek1"/>
        <w:spacing w:before="120" w:after="120" w:line="276" w:lineRule="auto"/>
        <w:rPr>
          <w:rFonts w:ascii="Arial" w:hAnsi="Arial" w:cs="Arial"/>
        </w:rPr>
      </w:pPr>
      <w:r w:rsidRPr="00981B55">
        <w:rPr>
          <w:rFonts w:ascii="Arial" w:hAnsi="Arial" w:cs="Arial"/>
        </w:rPr>
        <w:t>Zabezpieczenie finansowe</w:t>
      </w:r>
    </w:p>
    <w:p w:rsidR="00D25E34" w:rsidRPr="0070131A" w:rsidRDefault="00D25E34" w:rsidP="0070131A">
      <w:pPr>
        <w:spacing w:before="120" w:after="120" w:line="276" w:lineRule="auto"/>
        <w:rPr>
          <w:rFonts w:ascii="Arial" w:eastAsia="Times New Roman" w:hAnsi="Arial" w:cs="Arial"/>
          <w:lang w:eastAsia="pl-PL"/>
        </w:rPr>
      </w:pPr>
      <w:r w:rsidRPr="0070131A">
        <w:rPr>
          <w:rFonts w:ascii="Arial" w:eastAsia="Times New Roman" w:hAnsi="Arial" w:cs="Arial"/>
          <w:lang w:eastAsia="pl-PL"/>
        </w:rPr>
        <w:t xml:space="preserve">Podmiot, który uzyskał zezwolenie na urządzanie zakładów wzajemnych, jest obowiązany, w terminie określonym w zezwoleniu, złożyć, w celu zapewnienia ochrony interesu finansowego uczestników gier hazardowych oraz zabezpieczenia zobowiązań podatkowych w podatku od gier, zabezpieczenie finansowe w wysokości </w:t>
      </w:r>
      <w:r w:rsidR="00187CA9" w:rsidRPr="0070131A">
        <w:rPr>
          <w:rFonts w:ascii="Arial" w:eastAsia="Times New Roman" w:hAnsi="Arial" w:cs="Arial"/>
          <w:lang w:eastAsia="pl-PL"/>
        </w:rPr>
        <w:t>40</w:t>
      </w:r>
      <w:r w:rsidRPr="0070131A">
        <w:rPr>
          <w:rFonts w:ascii="Arial" w:eastAsia="Times New Roman" w:hAnsi="Arial" w:cs="Arial"/>
          <w:lang w:eastAsia="pl-PL"/>
        </w:rPr>
        <w:t> 000 zł – w przypadku prowadzenia punktu przyjmowania zakładów wzajemnych, a w przypadku urządzania zakładów wzajemnych przez sieć Internet, zabezpieczenie finansowe w wysokości 480 000 zł.</w:t>
      </w:r>
    </w:p>
    <w:p w:rsidR="00D25E34" w:rsidRPr="0070131A" w:rsidRDefault="00D25E34" w:rsidP="0070131A">
      <w:pPr>
        <w:spacing w:after="120" w:line="259" w:lineRule="auto"/>
        <w:rPr>
          <w:rFonts w:ascii="Arial" w:eastAsia="Times New Roman" w:hAnsi="Arial" w:cs="Arial"/>
          <w:lang w:eastAsia="pl-PL"/>
        </w:rPr>
      </w:pPr>
      <w:r w:rsidRPr="0070131A">
        <w:rPr>
          <w:rFonts w:ascii="Arial" w:eastAsia="Times New Roman" w:hAnsi="Arial" w:cs="Arial"/>
          <w:lang w:eastAsia="pl-PL"/>
        </w:rPr>
        <w:t>Zabezpieczenia finansowe mogą polegać na:</w:t>
      </w:r>
    </w:p>
    <w:p w:rsidR="00D25E34" w:rsidRPr="0070131A" w:rsidRDefault="00D25E34" w:rsidP="0070131A">
      <w:pPr>
        <w:spacing w:after="120" w:line="259" w:lineRule="auto"/>
        <w:rPr>
          <w:rFonts w:ascii="Arial" w:eastAsia="Times New Roman" w:hAnsi="Arial" w:cs="Arial"/>
          <w:lang w:eastAsia="pl-PL"/>
        </w:rPr>
      </w:pPr>
      <w:r w:rsidRPr="0070131A">
        <w:rPr>
          <w:rFonts w:ascii="Arial" w:eastAsia="Times New Roman" w:hAnsi="Arial" w:cs="Arial"/>
          <w:lang w:eastAsia="pl-PL"/>
        </w:rPr>
        <w:t>1. przedstawieniu gwarancji bankowych lub ubezpieczeniowych;</w:t>
      </w:r>
    </w:p>
    <w:p w:rsidR="00D25E34" w:rsidRPr="0070131A" w:rsidRDefault="00D25E34" w:rsidP="0070131A">
      <w:pPr>
        <w:spacing w:after="120" w:line="259" w:lineRule="auto"/>
        <w:rPr>
          <w:rFonts w:ascii="Arial" w:eastAsia="Times New Roman" w:hAnsi="Arial" w:cs="Arial"/>
          <w:lang w:eastAsia="pl-PL"/>
        </w:rPr>
      </w:pPr>
      <w:r w:rsidRPr="0070131A">
        <w:rPr>
          <w:rFonts w:ascii="Arial" w:eastAsia="Times New Roman" w:hAnsi="Arial" w:cs="Arial"/>
          <w:lang w:eastAsia="pl-PL"/>
        </w:rPr>
        <w:t xml:space="preserve">2. złożeniu właściwej kwoty na rachunku bankowym wskazanym przez organ udzielający koncesji lub zezwoleń. </w:t>
      </w:r>
    </w:p>
    <w:p w:rsidR="00C231CA" w:rsidRPr="00670AFD" w:rsidRDefault="00C231CA" w:rsidP="00D25E34">
      <w:pPr>
        <w:pStyle w:val="Nagwek1"/>
        <w:spacing w:before="120" w:after="120"/>
        <w:rPr>
          <w:rFonts w:ascii="Times New Roman" w:hAnsi="Times New Roman" w:cs="Times New Roman"/>
        </w:rPr>
      </w:pPr>
      <w:r w:rsidRPr="00670AFD">
        <w:rPr>
          <w:rFonts w:ascii="Times New Roman" w:hAnsi="Times New Roman" w:cs="Times New Roman"/>
        </w:rPr>
        <w:t xml:space="preserve">Obowiązujące </w:t>
      </w:r>
      <w:r w:rsidR="00D25E34" w:rsidRPr="00670AFD">
        <w:rPr>
          <w:rFonts w:ascii="Times New Roman" w:hAnsi="Times New Roman" w:cs="Times New Roman"/>
        </w:rPr>
        <w:t>zezwolenia na urządzanie zakładów wzajemnych</w:t>
      </w:r>
      <w:r w:rsidRPr="00670AFD">
        <w:rPr>
          <w:rFonts w:ascii="Times New Roman" w:hAnsi="Times New Roman" w:cs="Times New Roman"/>
        </w:rPr>
        <w:t xml:space="preserve"> </w:t>
      </w:r>
    </w:p>
    <w:p w:rsidR="00D25E34" w:rsidRPr="0070131A" w:rsidRDefault="0095582F" w:rsidP="00D25E34">
      <w:pPr>
        <w:spacing w:after="120" w:line="259" w:lineRule="auto"/>
        <w:jc w:val="both"/>
        <w:rPr>
          <w:rFonts w:ascii="Arial" w:eastAsia="Times New Roman" w:hAnsi="Arial" w:cs="Arial"/>
          <w:lang w:eastAsia="pl-PL"/>
        </w:rPr>
      </w:pPr>
      <w:r w:rsidRPr="0070131A">
        <w:rPr>
          <w:rFonts w:ascii="Arial" w:eastAsia="Times New Roman" w:hAnsi="Arial" w:cs="Arial"/>
          <w:lang w:eastAsia="pl-PL"/>
        </w:rPr>
        <w:t>Listę</w:t>
      </w:r>
      <w:r w:rsidR="0009513D" w:rsidRPr="0070131A">
        <w:rPr>
          <w:rFonts w:ascii="Arial" w:eastAsia="Times New Roman" w:hAnsi="Arial" w:cs="Arial"/>
          <w:lang w:eastAsia="pl-PL"/>
        </w:rPr>
        <w:t xml:space="preserve"> podmiotów posiadających obowiązujące zezwolenia</w:t>
      </w:r>
      <w:r w:rsidR="00D25E34" w:rsidRPr="0070131A">
        <w:rPr>
          <w:rFonts w:ascii="Arial" w:eastAsia="Times New Roman" w:hAnsi="Arial" w:cs="Arial"/>
          <w:lang w:eastAsia="pl-PL"/>
        </w:rPr>
        <w:t xml:space="preserve"> na urządzanie zakładów wzajemnych można znaleźć na stronie:</w:t>
      </w:r>
      <w:r w:rsidR="009C7637" w:rsidRPr="0070131A">
        <w:rPr>
          <w:rFonts w:ascii="Arial" w:eastAsia="Times New Roman" w:hAnsi="Arial" w:cs="Arial"/>
          <w:lang w:eastAsia="pl-PL"/>
        </w:rPr>
        <w:t xml:space="preserve"> </w:t>
      </w:r>
      <w:hyperlink r:id="rId9" w:history="1">
        <w:r w:rsidR="00D25E34" w:rsidRPr="0070131A">
          <w:rPr>
            <w:rFonts w:ascii="Arial" w:eastAsia="Times New Roman" w:hAnsi="Arial" w:cs="Arial"/>
            <w:lang w:eastAsia="pl-PL"/>
          </w:rPr>
          <w:t>https://www.podatki.gov.pl/pozostale-podatki/gry-hazardowe/zaklady-wzajemne-i-gry-hazardowe-przez-internet/</w:t>
        </w:r>
      </w:hyperlink>
    </w:p>
    <w:p w:rsidR="00986A20" w:rsidRPr="00670AFD" w:rsidRDefault="00986A20" w:rsidP="002162D6">
      <w:pPr>
        <w:pStyle w:val="Nagwek1"/>
        <w:rPr>
          <w:rFonts w:ascii="Times New Roman" w:hAnsi="Times New Roman" w:cs="Times New Roman"/>
        </w:rPr>
      </w:pPr>
      <w:r w:rsidRPr="00670AFD">
        <w:rPr>
          <w:rFonts w:ascii="Times New Roman" w:hAnsi="Times New Roman" w:cs="Times New Roman"/>
        </w:rPr>
        <w:t>Inne informacje</w:t>
      </w:r>
    </w:p>
    <w:p w:rsidR="001F16FE" w:rsidRDefault="00986A20" w:rsidP="009E080C">
      <w:pPr>
        <w:spacing w:before="120" w:after="120" w:line="276" w:lineRule="auto"/>
        <w:rPr>
          <w:rFonts w:ascii="Arial" w:hAnsi="Arial" w:cs="Arial"/>
        </w:rPr>
      </w:pPr>
      <w:r w:rsidRPr="0070131A">
        <w:rPr>
          <w:rFonts w:ascii="Arial" w:hAnsi="Arial" w:cs="Arial"/>
        </w:rPr>
        <w:t>Pozostałe informacje dotyczące gier hazardowych można znaleźć na stronie</w:t>
      </w:r>
      <w:r w:rsidR="003A4C1E" w:rsidRPr="0070131A">
        <w:rPr>
          <w:rFonts w:ascii="Arial" w:hAnsi="Arial" w:cs="Arial"/>
        </w:rPr>
        <w:t>:</w:t>
      </w:r>
      <w:r w:rsidRPr="0070131A">
        <w:rPr>
          <w:rFonts w:ascii="Arial" w:hAnsi="Arial" w:cs="Arial"/>
        </w:rPr>
        <w:t xml:space="preserve"> </w:t>
      </w:r>
      <w:hyperlink r:id="rId10" w:history="1">
        <w:r w:rsidRPr="0070131A">
          <w:rPr>
            <w:rFonts w:ascii="Arial" w:hAnsi="Arial" w:cs="Arial"/>
          </w:rPr>
          <w:t>www.podatki.gov.pl/pozostale-podatki/gry-hazardowe</w:t>
        </w:r>
      </w:hyperlink>
    </w:p>
    <w:p w:rsidR="001F16FE" w:rsidRDefault="001F16FE" w:rsidP="009E080C">
      <w:pPr>
        <w:spacing w:before="120" w:after="120" w:line="276" w:lineRule="auto"/>
        <w:rPr>
          <w:rFonts w:ascii="Arial" w:hAnsi="Arial" w:cs="Arial"/>
        </w:rPr>
      </w:pPr>
    </w:p>
    <w:p w:rsidR="00986A20" w:rsidRPr="0070131A" w:rsidRDefault="00986A20" w:rsidP="009E080C">
      <w:pPr>
        <w:spacing w:before="120" w:after="120" w:line="276" w:lineRule="auto"/>
        <w:rPr>
          <w:rFonts w:ascii="Arial" w:hAnsi="Arial" w:cs="Arial"/>
        </w:rPr>
      </w:pPr>
      <w:r w:rsidRPr="0070131A">
        <w:rPr>
          <w:rFonts w:ascii="Arial" w:hAnsi="Arial" w:cs="Arial"/>
        </w:rPr>
        <w:t xml:space="preserve"> </w:t>
      </w:r>
    </w:p>
    <w:sectPr w:rsidR="00986A20" w:rsidRPr="0070131A" w:rsidSect="00683818">
      <w:footerReference w:type="default" r:id="rId11"/>
      <w:footerReference w:type="first" r:id="rId12"/>
      <w:pgSz w:w="11900" w:h="16840"/>
      <w:pgMar w:top="1701" w:right="1134" w:bottom="1701"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C8" w:rsidRDefault="004274C8">
      <w:r>
        <w:separator/>
      </w:r>
    </w:p>
  </w:endnote>
  <w:endnote w:type="continuationSeparator" w:id="0">
    <w:p w:rsidR="004274C8" w:rsidRDefault="0042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B9" w:rsidRDefault="007D6C18" w:rsidP="00D84EB9">
    <w:pPr>
      <w:pStyle w:val="Stopka"/>
      <w:jc w:val="right"/>
      <w:rPr>
        <w:rFonts w:ascii="Arial" w:hAnsi="Arial" w:cs="Arial"/>
        <w:color w:val="7F7F7F"/>
        <w:sz w:val="16"/>
        <w:szCs w:val="16"/>
      </w:rPr>
    </w:pP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76658A">
      <w:rPr>
        <w:rFonts w:ascii="Arial" w:hAnsi="Arial" w:cs="Arial"/>
        <w:noProof/>
        <w:color w:val="7F7F7F"/>
        <w:sz w:val="16"/>
        <w:szCs w:val="16"/>
      </w:rPr>
      <w:t>7</w:t>
    </w:r>
    <w:r>
      <w:rPr>
        <w:rFonts w:ascii="Arial" w:hAnsi="Arial" w:cs="Arial"/>
        <w:color w:val="7F7F7F"/>
        <w:sz w:val="16"/>
        <w:szCs w:val="16"/>
      </w:rPr>
      <w:fldChar w:fldCharType="end"/>
    </w:r>
  </w:p>
  <w:p w:rsidR="006C13FF" w:rsidRPr="006C13FF" w:rsidRDefault="007665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4D" w:rsidRDefault="007D6C18">
    <w:pPr>
      <w:pStyle w:val="Stopka"/>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175895</wp:posOffset>
              </wp:positionV>
              <wp:extent cx="5907405" cy="291465"/>
              <wp:effectExtent l="2540" t="4445"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818" w:rsidRPr="00E81F86" w:rsidRDefault="0076658A" w:rsidP="00E81F86">
                          <w:pPr>
                            <w:rPr>
                              <w:szCs w:val="12"/>
                            </w:rPr>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margin-left:-.55pt;margin-top:13.85pt;width:465.1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nTngIAAJ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" filled="f" stroked="f">
              <v:textbox inset="0,0,0,0">
                <w:txbxContent>
                  <w:p w:rsidR="00683818" w:rsidRPr="00E81F86" w:rsidRDefault="0076658A" w:rsidP="00E81F86">
                    <w:pPr>
                      <w:rPr>
                        <w:szCs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C8" w:rsidRDefault="004274C8">
      <w:r>
        <w:separator/>
      </w:r>
    </w:p>
  </w:footnote>
  <w:footnote w:type="continuationSeparator" w:id="0">
    <w:p w:rsidR="004274C8" w:rsidRDefault="004274C8">
      <w:r>
        <w:continuationSeparator/>
      </w:r>
    </w:p>
  </w:footnote>
  <w:footnote w:id="1">
    <w:p w:rsidR="00BB52D9" w:rsidRPr="008622CE" w:rsidRDefault="00BB52D9" w:rsidP="00BB52D9">
      <w:pPr>
        <w:pStyle w:val="Tekstprzypisudolnego"/>
        <w:rPr>
          <w:rFonts w:ascii="Times New Roman" w:hAnsi="Times New Roman"/>
        </w:rPr>
      </w:pPr>
      <w:r w:rsidRPr="008622CE">
        <w:rPr>
          <w:rStyle w:val="Odwoanieprzypisudolnego"/>
          <w:rFonts w:ascii="Times New Roman" w:hAnsi="Times New Roman"/>
        </w:rPr>
        <w:footnoteRef/>
      </w:r>
      <w:r w:rsidRPr="008622CE">
        <w:rPr>
          <w:rFonts w:ascii="Times New Roman" w:hAnsi="Times New Roman"/>
        </w:rPr>
        <w:t xml:space="preserve"> Ustawa z dnia 19 listopada 2009 r. </w:t>
      </w:r>
      <w:r>
        <w:rPr>
          <w:rFonts w:ascii="Times New Roman" w:hAnsi="Times New Roman"/>
        </w:rPr>
        <w:t>o grach hazardowych (Dz. U z 2019 r. poz. 847</w:t>
      </w:r>
      <w:r w:rsidR="00413462">
        <w:rPr>
          <w:rFonts w:ascii="Times New Roman" w:hAnsi="Times New Roman"/>
        </w:rPr>
        <w:t xml:space="preserve">, z </w:t>
      </w:r>
      <w:proofErr w:type="spellStart"/>
      <w:r w:rsidR="00413462">
        <w:rPr>
          <w:rFonts w:ascii="Times New Roman" w:hAnsi="Times New Roman"/>
        </w:rPr>
        <w:t>późn</w:t>
      </w:r>
      <w:proofErr w:type="spellEnd"/>
      <w:r w:rsidR="00413462">
        <w:rPr>
          <w:rFonts w:ascii="Times New Roman" w:hAnsi="Times New Roman"/>
        </w:rPr>
        <w:t>. zm.</w:t>
      </w:r>
      <w:r>
        <w:rPr>
          <w:rFonts w:ascii="Times New Roman" w:hAnsi="Times New Roman"/>
        </w:rPr>
        <w:t>)</w:t>
      </w:r>
    </w:p>
  </w:footnote>
  <w:footnote w:id="2">
    <w:p w:rsidR="00AE4276" w:rsidRPr="00F4598F" w:rsidRDefault="00AE4276" w:rsidP="00AE4276">
      <w:pPr>
        <w:pStyle w:val="Tekstprzypisudolnego"/>
        <w:rPr>
          <w:rFonts w:ascii="Times New Roman" w:hAnsi="Times New Roman"/>
        </w:rPr>
      </w:pPr>
      <w:r w:rsidRPr="00F4598F">
        <w:rPr>
          <w:rStyle w:val="Odwoanieprzypisudolnego"/>
          <w:rFonts w:ascii="Times New Roman" w:hAnsi="Times New Roman"/>
        </w:rPr>
        <w:footnoteRef/>
      </w:r>
      <w:r>
        <w:rPr>
          <w:rFonts w:ascii="Times New Roman" w:hAnsi="Times New Roman"/>
        </w:rPr>
        <w:t xml:space="preserve"> </w:t>
      </w:r>
      <w:r w:rsidRPr="0070131A">
        <w:rPr>
          <w:rFonts w:ascii="Arial" w:hAnsi="Arial" w:cs="Arial"/>
        </w:rPr>
        <w:t>Informację dotyczącą zaświadczeń o niezaleganiu w podatkach i należnośc</w:t>
      </w:r>
      <w:r w:rsidR="0076658A">
        <w:rPr>
          <w:rFonts w:ascii="Arial" w:hAnsi="Arial" w:cs="Arial"/>
        </w:rPr>
        <w:t xml:space="preserve">iach celnych można znaleźć na </w:t>
      </w:r>
      <w:bookmarkStart w:id="0" w:name="_GoBack"/>
      <w:bookmarkEnd w:id="0"/>
      <w:r w:rsidRPr="0070131A">
        <w:rPr>
          <w:rFonts w:ascii="Arial" w:hAnsi="Arial" w:cs="Arial"/>
        </w:rPr>
        <w:t xml:space="preserve">stronie: </w:t>
      </w:r>
      <w:hyperlink r:id="rId1" w:history="1">
        <w:r w:rsidRPr="0070131A">
          <w:rPr>
            <w:rStyle w:val="Hipercze"/>
            <w:rFonts w:ascii="Arial" w:hAnsi="Arial" w:cs="Arial"/>
            <w:color w:val="auto"/>
          </w:rPr>
          <w:t>https://www.podatki.gov.pl/pozostale-podatki/gry-hazardowe/informacje-ogolne</w:t>
        </w:r>
      </w:hyperlink>
      <w:r w:rsidRPr="0044247F">
        <w:rPr>
          <w:rFonts w:ascii="Times New Roman" w:hAnsi="Times New Roman"/>
        </w:rPr>
        <w:t xml:space="preserve">  </w:t>
      </w:r>
    </w:p>
  </w:footnote>
  <w:footnote w:id="3">
    <w:p w:rsidR="00965911" w:rsidRPr="0070131A" w:rsidRDefault="00965911" w:rsidP="00EB1689">
      <w:pPr>
        <w:pStyle w:val="Tekstprzypisudolnego"/>
        <w:jc w:val="both"/>
        <w:rPr>
          <w:rFonts w:ascii="Arial" w:hAnsi="Arial" w:cs="Arial"/>
        </w:rPr>
      </w:pPr>
      <w:r w:rsidRPr="0070131A">
        <w:rPr>
          <w:rStyle w:val="Odwoanieprzypisudolnego"/>
          <w:rFonts w:ascii="Arial" w:hAnsi="Arial" w:cs="Arial"/>
        </w:rPr>
        <w:footnoteRef/>
      </w:r>
      <w:r w:rsidRPr="0070131A">
        <w:rPr>
          <w:rFonts w:ascii="Arial" w:hAnsi="Arial" w:cs="Arial"/>
        </w:rPr>
        <w:t xml:space="preserve"> Jednym z elementów wniosku jest sprawozdanie finanso</w:t>
      </w:r>
      <w:r w:rsidR="00EB1689" w:rsidRPr="0070131A">
        <w:rPr>
          <w:rFonts w:ascii="Arial" w:hAnsi="Arial" w:cs="Arial"/>
        </w:rPr>
        <w:t>we za ostatni rok obrotowy</w:t>
      </w:r>
      <w:r w:rsidRPr="0070131A">
        <w:rPr>
          <w:rFonts w:ascii="Arial" w:hAnsi="Arial" w:cs="Arial"/>
        </w:rPr>
        <w:t xml:space="preserve">, a w przypadku spółki rozpoczynającej działalność – oświadczenie o zgodności działania spółki z przepisami o rachunkowości. Informację dotyczącą wypełnienia obowiązku można znaleźć na stronie: </w:t>
      </w:r>
    </w:p>
    <w:p w:rsidR="00965911" w:rsidRPr="00D97535" w:rsidRDefault="0076658A" w:rsidP="00965911">
      <w:pPr>
        <w:pStyle w:val="Tekstprzypisudolnego"/>
        <w:rPr>
          <w:rFonts w:ascii="Times New Roman" w:hAnsi="Times New Roman"/>
        </w:rPr>
      </w:pPr>
      <w:hyperlink r:id="rId2" w:history="1">
        <w:r w:rsidR="00965911" w:rsidRPr="0070131A">
          <w:rPr>
            <w:rStyle w:val="Hipercze"/>
            <w:rFonts w:ascii="Arial" w:hAnsi="Arial" w:cs="Arial"/>
            <w:color w:val="auto"/>
          </w:rPr>
          <w:t>https://www.podatki.gov.pl/pozostale-podatki/gry-hazardowe/informacje-ogolne</w:t>
        </w:r>
      </w:hyperlink>
      <w:r w:rsidR="00965911" w:rsidRPr="00D97535">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29A"/>
    <w:multiLevelType w:val="hybridMultilevel"/>
    <w:tmpl w:val="CF20A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D26CC"/>
    <w:multiLevelType w:val="hybridMultilevel"/>
    <w:tmpl w:val="F3CECF16"/>
    <w:lvl w:ilvl="0" w:tplc="F1B2D30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28CC47A5"/>
    <w:multiLevelType w:val="hybridMultilevel"/>
    <w:tmpl w:val="8C7CE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B5A48"/>
    <w:multiLevelType w:val="hybridMultilevel"/>
    <w:tmpl w:val="4622EA76"/>
    <w:lvl w:ilvl="0" w:tplc="11705E1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F220A3"/>
    <w:multiLevelType w:val="hybridMultilevel"/>
    <w:tmpl w:val="512428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5092C49"/>
    <w:multiLevelType w:val="hybridMultilevel"/>
    <w:tmpl w:val="49862F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3447D"/>
    <w:multiLevelType w:val="hybridMultilevel"/>
    <w:tmpl w:val="E8AEEAE8"/>
    <w:lvl w:ilvl="0" w:tplc="908CDA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03"/>
    <w:rsid w:val="00004F14"/>
    <w:rsid w:val="00030545"/>
    <w:rsid w:val="00043F51"/>
    <w:rsid w:val="00045211"/>
    <w:rsid w:val="000458B7"/>
    <w:rsid w:val="00076FFF"/>
    <w:rsid w:val="0009031E"/>
    <w:rsid w:val="0009513D"/>
    <w:rsid w:val="000979C8"/>
    <w:rsid w:val="000C0804"/>
    <w:rsid w:val="000D2945"/>
    <w:rsid w:val="00105E68"/>
    <w:rsid w:val="00126F5B"/>
    <w:rsid w:val="0013100B"/>
    <w:rsid w:val="00150504"/>
    <w:rsid w:val="0016573A"/>
    <w:rsid w:val="00187CA9"/>
    <w:rsid w:val="001D11A2"/>
    <w:rsid w:val="001D3799"/>
    <w:rsid w:val="001D506A"/>
    <w:rsid w:val="001E3EEC"/>
    <w:rsid w:val="001F16FE"/>
    <w:rsid w:val="002144E0"/>
    <w:rsid w:val="002162D6"/>
    <w:rsid w:val="00221552"/>
    <w:rsid w:val="00225E71"/>
    <w:rsid w:val="00227D8F"/>
    <w:rsid w:val="002325CD"/>
    <w:rsid w:val="00233340"/>
    <w:rsid w:val="00240C47"/>
    <w:rsid w:val="002502D1"/>
    <w:rsid w:val="0025532B"/>
    <w:rsid w:val="00262849"/>
    <w:rsid w:val="00263334"/>
    <w:rsid w:val="00272E7C"/>
    <w:rsid w:val="00282E83"/>
    <w:rsid w:val="002A3B7B"/>
    <w:rsid w:val="002B77F2"/>
    <w:rsid w:val="002D44D9"/>
    <w:rsid w:val="002D6F42"/>
    <w:rsid w:val="002E6086"/>
    <w:rsid w:val="00310D8A"/>
    <w:rsid w:val="00342D42"/>
    <w:rsid w:val="00347F2C"/>
    <w:rsid w:val="00355AB9"/>
    <w:rsid w:val="00360C36"/>
    <w:rsid w:val="00381E24"/>
    <w:rsid w:val="00395458"/>
    <w:rsid w:val="003A0C65"/>
    <w:rsid w:val="003A46E8"/>
    <w:rsid w:val="003A4C1E"/>
    <w:rsid w:val="003C2AA2"/>
    <w:rsid w:val="003C6719"/>
    <w:rsid w:val="003C7970"/>
    <w:rsid w:val="003D46DA"/>
    <w:rsid w:val="00401714"/>
    <w:rsid w:val="00413462"/>
    <w:rsid w:val="00424430"/>
    <w:rsid w:val="004274C8"/>
    <w:rsid w:val="004355CA"/>
    <w:rsid w:val="004418A8"/>
    <w:rsid w:val="00447BD0"/>
    <w:rsid w:val="00450362"/>
    <w:rsid w:val="004535B5"/>
    <w:rsid w:val="004852DC"/>
    <w:rsid w:val="004B100B"/>
    <w:rsid w:val="004B5767"/>
    <w:rsid w:val="004D1F9F"/>
    <w:rsid w:val="004E0771"/>
    <w:rsid w:val="00503DC7"/>
    <w:rsid w:val="005402B2"/>
    <w:rsid w:val="00544C4A"/>
    <w:rsid w:val="005463FA"/>
    <w:rsid w:val="005469FC"/>
    <w:rsid w:val="005519E5"/>
    <w:rsid w:val="00587703"/>
    <w:rsid w:val="005A1965"/>
    <w:rsid w:val="005A2E0C"/>
    <w:rsid w:val="005A7CC6"/>
    <w:rsid w:val="005B07A3"/>
    <w:rsid w:val="005D4C7F"/>
    <w:rsid w:val="0061012E"/>
    <w:rsid w:val="00614001"/>
    <w:rsid w:val="00670AFD"/>
    <w:rsid w:val="00682A0F"/>
    <w:rsid w:val="006A64FF"/>
    <w:rsid w:val="006A6B2A"/>
    <w:rsid w:val="006F184A"/>
    <w:rsid w:val="0070131A"/>
    <w:rsid w:val="00702E6B"/>
    <w:rsid w:val="00710C27"/>
    <w:rsid w:val="00711BB0"/>
    <w:rsid w:val="00723047"/>
    <w:rsid w:val="00752995"/>
    <w:rsid w:val="00755E8B"/>
    <w:rsid w:val="00760893"/>
    <w:rsid w:val="0076658A"/>
    <w:rsid w:val="007922F7"/>
    <w:rsid w:val="007A1A78"/>
    <w:rsid w:val="007A3D27"/>
    <w:rsid w:val="007C2F99"/>
    <w:rsid w:val="007D61B7"/>
    <w:rsid w:val="007D6C18"/>
    <w:rsid w:val="008300AA"/>
    <w:rsid w:val="00862477"/>
    <w:rsid w:val="00864153"/>
    <w:rsid w:val="008711A4"/>
    <w:rsid w:val="00896D59"/>
    <w:rsid w:val="008A345C"/>
    <w:rsid w:val="008B0047"/>
    <w:rsid w:val="008D4BF9"/>
    <w:rsid w:val="008D5801"/>
    <w:rsid w:val="008E24CA"/>
    <w:rsid w:val="0090015C"/>
    <w:rsid w:val="00934A36"/>
    <w:rsid w:val="00942E48"/>
    <w:rsid w:val="0095582F"/>
    <w:rsid w:val="00965911"/>
    <w:rsid w:val="00981B55"/>
    <w:rsid w:val="00986A20"/>
    <w:rsid w:val="009B160F"/>
    <w:rsid w:val="009C04A0"/>
    <w:rsid w:val="009C7637"/>
    <w:rsid w:val="009E080C"/>
    <w:rsid w:val="009F596F"/>
    <w:rsid w:val="00A22C5D"/>
    <w:rsid w:val="00A3530F"/>
    <w:rsid w:val="00A46F45"/>
    <w:rsid w:val="00A51A83"/>
    <w:rsid w:val="00A73486"/>
    <w:rsid w:val="00A90A5D"/>
    <w:rsid w:val="00A95ADD"/>
    <w:rsid w:val="00A97CCA"/>
    <w:rsid w:val="00AA11F2"/>
    <w:rsid w:val="00AC0828"/>
    <w:rsid w:val="00AD2299"/>
    <w:rsid w:val="00AE4276"/>
    <w:rsid w:val="00B25E38"/>
    <w:rsid w:val="00B6166D"/>
    <w:rsid w:val="00B7300C"/>
    <w:rsid w:val="00B76306"/>
    <w:rsid w:val="00B837F3"/>
    <w:rsid w:val="00BA1F70"/>
    <w:rsid w:val="00BB52D9"/>
    <w:rsid w:val="00BC31CD"/>
    <w:rsid w:val="00BD4E7B"/>
    <w:rsid w:val="00BE3E58"/>
    <w:rsid w:val="00BE59CE"/>
    <w:rsid w:val="00BF4D43"/>
    <w:rsid w:val="00C16530"/>
    <w:rsid w:val="00C231CA"/>
    <w:rsid w:val="00C253D1"/>
    <w:rsid w:val="00C26772"/>
    <w:rsid w:val="00C85A4C"/>
    <w:rsid w:val="00CA3C98"/>
    <w:rsid w:val="00CB4680"/>
    <w:rsid w:val="00CC7A31"/>
    <w:rsid w:val="00CC7F90"/>
    <w:rsid w:val="00D04401"/>
    <w:rsid w:val="00D114EA"/>
    <w:rsid w:val="00D25E34"/>
    <w:rsid w:val="00D470CD"/>
    <w:rsid w:val="00D70C7D"/>
    <w:rsid w:val="00D76788"/>
    <w:rsid w:val="00D90C90"/>
    <w:rsid w:val="00DB4C3F"/>
    <w:rsid w:val="00DB6959"/>
    <w:rsid w:val="00DD3941"/>
    <w:rsid w:val="00DD4C6F"/>
    <w:rsid w:val="00DE6386"/>
    <w:rsid w:val="00DE6641"/>
    <w:rsid w:val="00DF2DE4"/>
    <w:rsid w:val="00E37ED3"/>
    <w:rsid w:val="00E94B46"/>
    <w:rsid w:val="00EA14A4"/>
    <w:rsid w:val="00EB1689"/>
    <w:rsid w:val="00EC2784"/>
    <w:rsid w:val="00EC2EE3"/>
    <w:rsid w:val="00EE121B"/>
    <w:rsid w:val="00EE61B4"/>
    <w:rsid w:val="00EF0051"/>
    <w:rsid w:val="00F148D3"/>
    <w:rsid w:val="00F4364C"/>
    <w:rsid w:val="00F72385"/>
    <w:rsid w:val="00F87A42"/>
    <w:rsid w:val="00FD3651"/>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CBBBFEA-E674-45A1-AE27-0105D53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37296E"/>
    <w:rPr>
      <w:sz w:val="24"/>
      <w:szCs w:val="24"/>
      <w:lang w:eastAsia="en-US"/>
    </w:rPr>
  </w:style>
  <w:style w:type="paragraph" w:styleId="Nagwek1">
    <w:name w:val="heading 1"/>
    <w:basedOn w:val="Normalny"/>
    <w:next w:val="Normalny"/>
    <w:link w:val="Nagwek1Znak"/>
    <w:uiPriority w:val="9"/>
    <w:qFormat/>
    <w:rsid w:val="00A734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628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73486"/>
    <w:rPr>
      <w:rFonts w:asciiTheme="majorHAnsi" w:eastAsiaTheme="majorEastAsia" w:hAnsiTheme="majorHAnsi" w:cstheme="majorBidi"/>
      <w:color w:val="365F91" w:themeColor="accent1" w:themeShade="BF"/>
      <w:sz w:val="32"/>
      <w:szCs w:val="32"/>
      <w:lang w:eastAsia="en-US"/>
    </w:rPr>
  </w:style>
  <w:style w:type="paragraph" w:styleId="Bezodstpw">
    <w:name w:val="No Spacing"/>
    <w:link w:val="BezodstpwZnak"/>
    <w:uiPriority w:val="1"/>
    <w:qFormat/>
    <w:rsid w:val="00A73486"/>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A73486"/>
    <w:rPr>
      <w:rFonts w:asciiTheme="minorHAnsi" w:eastAsiaTheme="minorHAnsi" w:hAnsiTheme="minorHAnsi" w:cstheme="minorBidi"/>
      <w:sz w:val="22"/>
      <w:szCs w:val="22"/>
      <w:lang w:eastAsia="en-US"/>
    </w:rPr>
  </w:style>
  <w:style w:type="paragraph" w:styleId="Tekstprzypisudolnego">
    <w:name w:val="footnote text"/>
    <w:basedOn w:val="Normalny"/>
    <w:link w:val="TekstprzypisudolnegoZnak"/>
    <w:uiPriority w:val="99"/>
    <w:semiHidden/>
    <w:unhideWhenUsed/>
    <w:rsid w:val="00F87A42"/>
    <w:rPr>
      <w:sz w:val="20"/>
      <w:szCs w:val="20"/>
    </w:rPr>
  </w:style>
  <w:style w:type="character" w:customStyle="1" w:styleId="TekstprzypisudolnegoZnak">
    <w:name w:val="Tekst przypisu dolnego Znak"/>
    <w:basedOn w:val="Domylnaczcionkaakapitu"/>
    <w:link w:val="Tekstprzypisudolnego"/>
    <w:uiPriority w:val="99"/>
    <w:semiHidden/>
    <w:rsid w:val="00F87A42"/>
    <w:rPr>
      <w:lang w:eastAsia="en-US"/>
    </w:rPr>
  </w:style>
  <w:style w:type="character" w:styleId="Odwoanieprzypisudolnego">
    <w:name w:val="footnote reference"/>
    <w:basedOn w:val="Domylnaczcionkaakapitu"/>
    <w:uiPriority w:val="99"/>
    <w:semiHidden/>
    <w:unhideWhenUsed/>
    <w:rsid w:val="00F87A42"/>
    <w:rPr>
      <w:vertAlign w:val="superscript"/>
    </w:rPr>
  </w:style>
  <w:style w:type="paragraph" w:styleId="Akapitzlist">
    <w:name w:val="List Paragraph"/>
    <w:basedOn w:val="Normalny"/>
    <w:uiPriority w:val="72"/>
    <w:qFormat/>
    <w:rsid w:val="00A3530F"/>
    <w:pPr>
      <w:ind w:left="720"/>
      <w:contextualSpacing/>
    </w:pPr>
  </w:style>
  <w:style w:type="character" w:customStyle="1" w:styleId="Nagwek2Znak">
    <w:name w:val="Nagłówek 2 Znak"/>
    <w:basedOn w:val="Domylnaczcionkaakapitu"/>
    <w:link w:val="Nagwek2"/>
    <w:uiPriority w:val="9"/>
    <w:semiHidden/>
    <w:rsid w:val="00262849"/>
    <w:rPr>
      <w:rFonts w:asciiTheme="majorHAnsi" w:eastAsiaTheme="majorEastAsia" w:hAnsiTheme="majorHAnsi" w:cstheme="majorBidi"/>
      <w:color w:val="365F91" w:themeColor="accent1" w:themeShade="BF"/>
      <w:sz w:val="26"/>
      <w:szCs w:val="26"/>
      <w:lang w:eastAsia="en-US"/>
    </w:rPr>
  </w:style>
  <w:style w:type="paragraph" w:styleId="Tytu">
    <w:name w:val="Title"/>
    <w:basedOn w:val="Normalny"/>
    <w:next w:val="Normalny"/>
    <w:link w:val="TytuZnak"/>
    <w:uiPriority w:val="10"/>
    <w:qFormat/>
    <w:rsid w:val="002162D6"/>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162D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7183">
      <w:bodyDiv w:val="1"/>
      <w:marLeft w:val="0"/>
      <w:marRight w:val="0"/>
      <w:marTop w:val="0"/>
      <w:marBottom w:val="0"/>
      <w:divBdr>
        <w:top w:val="none" w:sz="0" w:space="0" w:color="auto"/>
        <w:left w:val="none" w:sz="0" w:space="0" w:color="auto"/>
        <w:bottom w:val="none" w:sz="0" w:space="0" w:color="auto"/>
        <w:right w:val="none" w:sz="0" w:space="0" w:color="auto"/>
      </w:divBdr>
    </w:div>
    <w:div w:id="592470191">
      <w:bodyDiv w:val="1"/>
      <w:marLeft w:val="0"/>
      <w:marRight w:val="0"/>
      <w:marTop w:val="0"/>
      <w:marBottom w:val="0"/>
      <w:divBdr>
        <w:top w:val="none" w:sz="0" w:space="0" w:color="auto"/>
        <w:left w:val="none" w:sz="0" w:space="0" w:color="auto"/>
        <w:bottom w:val="none" w:sz="0" w:space="0" w:color="auto"/>
        <w:right w:val="none" w:sz="0" w:space="0" w:color="auto"/>
      </w:divBdr>
    </w:div>
    <w:div w:id="69438101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488784386">
          <w:marLeft w:val="0"/>
          <w:marRight w:val="0"/>
          <w:marTop w:val="0"/>
          <w:marBottom w:val="0"/>
          <w:divBdr>
            <w:top w:val="none" w:sz="0" w:space="0" w:color="auto"/>
            <w:left w:val="none" w:sz="0" w:space="0" w:color="auto"/>
            <w:bottom w:val="none" w:sz="0" w:space="0" w:color="auto"/>
            <w:right w:val="none" w:sz="0" w:space="0" w:color="auto"/>
          </w:divBdr>
        </w:div>
      </w:divsChild>
    </w:div>
    <w:div w:id="756052850">
      <w:bodyDiv w:val="1"/>
      <w:marLeft w:val="0"/>
      <w:marRight w:val="0"/>
      <w:marTop w:val="0"/>
      <w:marBottom w:val="0"/>
      <w:divBdr>
        <w:top w:val="none" w:sz="0" w:space="0" w:color="auto"/>
        <w:left w:val="none" w:sz="0" w:space="0" w:color="auto"/>
        <w:bottom w:val="none" w:sz="0" w:space="0" w:color="auto"/>
        <w:right w:val="none" w:sz="0" w:space="0" w:color="auto"/>
      </w:divBdr>
    </w:div>
    <w:div w:id="917205180">
      <w:bodyDiv w:val="1"/>
      <w:marLeft w:val="0"/>
      <w:marRight w:val="0"/>
      <w:marTop w:val="0"/>
      <w:marBottom w:val="0"/>
      <w:divBdr>
        <w:top w:val="none" w:sz="0" w:space="0" w:color="auto"/>
        <w:left w:val="none" w:sz="0" w:space="0" w:color="auto"/>
        <w:bottom w:val="none" w:sz="0" w:space="0" w:color="auto"/>
        <w:right w:val="none" w:sz="0" w:space="0" w:color="auto"/>
      </w:divBdr>
    </w:div>
    <w:div w:id="94819602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9953674">
          <w:marLeft w:val="0"/>
          <w:marRight w:val="0"/>
          <w:marTop w:val="0"/>
          <w:marBottom w:val="0"/>
          <w:divBdr>
            <w:top w:val="none" w:sz="0" w:space="0" w:color="auto"/>
            <w:left w:val="none" w:sz="0" w:space="0" w:color="auto"/>
            <w:bottom w:val="none" w:sz="0" w:space="0" w:color="auto"/>
            <w:right w:val="none" w:sz="0" w:space="0" w:color="auto"/>
          </w:divBdr>
        </w:div>
      </w:divsChild>
    </w:div>
    <w:div w:id="965550101">
      <w:bodyDiv w:val="1"/>
      <w:marLeft w:val="0"/>
      <w:marRight w:val="0"/>
      <w:marTop w:val="0"/>
      <w:marBottom w:val="0"/>
      <w:divBdr>
        <w:top w:val="none" w:sz="0" w:space="0" w:color="auto"/>
        <w:left w:val="none" w:sz="0" w:space="0" w:color="auto"/>
        <w:bottom w:val="none" w:sz="0" w:space="0" w:color="auto"/>
        <w:right w:val="none" w:sz="0" w:space="0" w:color="auto"/>
      </w:divBdr>
    </w:div>
    <w:div w:id="1098258447">
      <w:bodyDiv w:val="1"/>
      <w:marLeft w:val="0"/>
      <w:marRight w:val="0"/>
      <w:marTop w:val="0"/>
      <w:marBottom w:val="0"/>
      <w:divBdr>
        <w:top w:val="none" w:sz="0" w:space="0" w:color="auto"/>
        <w:left w:val="none" w:sz="0" w:space="0" w:color="auto"/>
        <w:bottom w:val="none" w:sz="0" w:space="0" w:color="auto"/>
        <w:right w:val="none" w:sz="0" w:space="0" w:color="auto"/>
      </w:divBdr>
    </w:div>
    <w:div w:id="11468218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335111133">
          <w:marLeft w:val="0"/>
          <w:marRight w:val="0"/>
          <w:marTop w:val="0"/>
          <w:marBottom w:val="0"/>
          <w:divBdr>
            <w:top w:val="none" w:sz="0" w:space="0" w:color="auto"/>
            <w:left w:val="none" w:sz="0" w:space="0" w:color="auto"/>
            <w:bottom w:val="none" w:sz="0" w:space="0" w:color="auto"/>
            <w:right w:val="none" w:sz="0" w:space="0" w:color="auto"/>
          </w:divBdr>
        </w:div>
      </w:divsChild>
    </w:div>
    <w:div w:id="1164785015">
      <w:bodyDiv w:val="1"/>
      <w:marLeft w:val="0"/>
      <w:marRight w:val="0"/>
      <w:marTop w:val="0"/>
      <w:marBottom w:val="0"/>
      <w:divBdr>
        <w:top w:val="none" w:sz="0" w:space="0" w:color="auto"/>
        <w:left w:val="none" w:sz="0" w:space="0" w:color="auto"/>
        <w:bottom w:val="none" w:sz="0" w:space="0" w:color="auto"/>
        <w:right w:val="none" w:sz="0" w:space="0" w:color="auto"/>
      </w:divBdr>
    </w:div>
    <w:div w:id="12320862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25895387">
          <w:marLeft w:val="0"/>
          <w:marRight w:val="0"/>
          <w:marTop w:val="0"/>
          <w:marBottom w:val="0"/>
          <w:divBdr>
            <w:top w:val="none" w:sz="0" w:space="0" w:color="auto"/>
            <w:left w:val="none" w:sz="0" w:space="0" w:color="auto"/>
            <w:bottom w:val="none" w:sz="0" w:space="0" w:color="auto"/>
            <w:right w:val="none" w:sz="0" w:space="0" w:color="auto"/>
          </w:divBdr>
        </w:div>
      </w:divsChild>
    </w:div>
    <w:div w:id="1370642091">
      <w:bodyDiv w:val="1"/>
      <w:marLeft w:val="0"/>
      <w:marRight w:val="0"/>
      <w:marTop w:val="0"/>
      <w:marBottom w:val="0"/>
      <w:divBdr>
        <w:top w:val="none" w:sz="0" w:space="0" w:color="auto"/>
        <w:left w:val="none" w:sz="0" w:space="0" w:color="auto"/>
        <w:bottom w:val="none" w:sz="0" w:space="0" w:color="auto"/>
        <w:right w:val="none" w:sz="0" w:space="0" w:color="auto"/>
      </w:divBdr>
      <w:divsChild>
        <w:div w:id="126626372">
          <w:marLeft w:val="0"/>
          <w:marRight w:val="0"/>
          <w:marTop w:val="0"/>
          <w:marBottom w:val="0"/>
          <w:divBdr>
            <w:top w:val="none" w:sz="0" w:space="0" w:color="auto"/>
            <w:left w:val="none" w:sz="0" w:space="0" w:color="auto"/>
            <w:bottom w:val="none" w:sz="0" w:space="0" w:color="auto"/>
            <w:right w:val="none" w:sz="0" w:space="0" w:color="auto"/>
          </w:divBdr>
        </w:div>
        <w:div w:id="247464619">
          <w:marLeft w:val="0"/>
          <w:marRight w:val="0"/>
          <w:marTop w:val="0"/>
          <w:marBottom w:val="0"/>
          <w:divBdr>
            <w:top w:val="none" w:sz="0" w:space="0" w:color="auto"/>
            <w:left w:val="none" w:sz="0" w:space="0" w:color="auto"/>
            <w:bottom w:val="none" w:sz="0" w:space="0" w:color="auto"/>
            <w:right w:val="none" w:sz="0" w:space="0" w:color="auto"/>
          </w:divBdr>
        </w:div>
      </w:divsChild>
    </w:div>
    <w:div w:id="143651100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5303362">
          <w:marLeft w:val="0"/>
          <w:marRight w:val="0"/>
          <w:marTop w:val="0"/>
          <w:marBottom w:val="0"/>
          <w:divBdr>
            <w:top w:val="none" w:sz="0" w:space="0" w:color="auto"/>
            <w:left w:val="none" w:sz="0" w:space="0" w:color="auto"/>
            <w:bottom w:val="none" w:sz="0" w:space="0" w:color="auto"/>
            <w:right w:val="none" w:sz="0" w:space="0" w:color="auto"/>
          </w:divBdr>
        </w:div>
      </w:divsChild>
    </w:div>
    <w:div w:id="16781459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26774318">
          <w:marLeft w:val="0"/>
          <w:marRight w:val="0"/>
          <w:marTop w:val="0"/>
          <w:marBottom w:val="0"/>
          <w:divBdr>
            <w:top w:val="none" w:sz="0" w:space="0" w:color="auto"/>
            <w:left w:val="none" w:sz="0" w:space="0" w:color="auto"/>
            <w:bottom w:val="none" w:sz="0" w:space="0" w:color="auto"/>
            <w:right w:val="none" w:sz="0" w:space="0" w:color="auto"/>
          </w:divBdr>
        </w:div>
      </w:divsChild>
    </w:div>
    <w:div w:id="171469314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90918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datki.gov.pl/pozostale-podatki/gry-hazardowe" TargetMode="External"/><Relationship Id="rId4" Type="http://schemas.openxmlformats.org/officeDocument/2006/relationships/settings" Target="settings.xml"/><Relationship Id="rId9" Type="http://schemas.openxmlformats.org/officeDocument/2006/relationships/hyperlink" Target="https://www.podatki.gov.pl/pozostale-podatki/gry-hazardowe/zaklady-wzajemne-i-gry-hazardowe-przez-intern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odatki.gov.pl/pozostale-podatki/gry-hazardowe/informacje-ogolne" TargetMode="External"/><Relationship Id="rId1" Type="http://schemas.openxmlformats.org/officeDocument/2006/relationships/hyperlink" Target="https://www.podatki.gov.pl/pozostale-podatki/gry-hazardowe/informacje-ogol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oje%20dokumenty\Szablony\ok\Serwer\aaa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2FD7-838F-4B9C-849E-B2124842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aaaa</Template>
  <TotalTime>17</TotalTime>
  <Pages>7</Pages>
  <Words>1772</Words>
  <Characters>10638</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Plan B</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20</cp:revision>
  <cp:lastPrinted>2019-12-10T11:02:00Z</cp:lastPrinted>
  <dcterms:created xsi:type="dcterms:W3CDTF">2019-12-12T14:51:00Z</dcterms:created>
  <dcterms:modified xsi:type="dcterms:W3CDTF">2019-12-12T15:10:00Z</dcterms:modified>
</cp:coreProperties>
</file>