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2A98D" w14:textId="2FD738CE" w:rsidR="00857F1C" w:rsidRDefault="00857F1C" w:rsidP="003A279D">
      <w:pPr>
        <w:spacing w:before="100" w:beforeAutospacing="1" w:after="0" w:line="360" w:lineRule="auto"/>
        <w:outlineLvl w:val="0"/>
        <w:rPr>
          <w:rFonts w:eastAsia="Calibri" w:cstheme="minorHAnsi"/>
          <w:b/>
          <w:caps/>
          <w:sz w:val="24"/>
          <w:szCs w:val="20"/>
          <w:lang w:val="pl" w:eastAsia="pl-PL"/>
        </w:rPr>
      </w:pPr>
    </w:p>
    <w:p w14:paraId="3EC6BFEE" w14:textId="27ECB150" w:rsidR="003A279D" w:rsidRPr="000714F9" w:rsidRDefault="003A279D" w:rsidP="003A279D">
      <w:pPr>
        <w:spacing w:before="120" w:after="120" w:line="240" w:lineRule="auto"/>
        <w:jc w:val="center"/>
        <w:rPr>
          <w:rFonts w:eastAsia="Calibri" w:cstheme="minorHAnsi"/>
          <w:b/>
          <w:caps/>
          <w:color w:val="FF0000"/>
          <w:sz w:val="28"/>
          <w:szCs w:val="28"/>
          <w:lang w:val="pl" w:eastAsia="pl-PL"/>
        </w:rPr>
      </w:pPr>
      <w:r w:rsidRPr="000714F9">
        <w:rPr>
          <w:rFonts w:eastAsia="Calibri" w:cstheme="minorHAnsi"/>
          <w:b/>
          <w:caps/>
          <w:color w:val="FF0000"/>
          <w:sz w:val="28"/>
          <w:szCs w:val="28"/>
          <w:lang w:val="pl" w:eastAsia="pl-PL"/>
        </w:rPr>
        <w:t>WYJAŚNIENIA DOTYCZĄCE MOŻLIWOŚCI STOSOWANIA W 2025 ROKU KUMULACJI POCHODZENIA W STREFIE PEM ORAZ DOWODÓW POCHODZENIA MAJĄCYCH ZASTOSOWANIE W TYM KONTEKŚCIE</w:t>
      </w:r>
    </w:p>
    <w:p w14:paraId="49A1DF37" w14:textId="1F705460" w:rsidR="009E690C" w:rsidRDefault="009E690C" w:rsidP="008D40A3">
      <w:pPr>
        <w:spacing w:before="120" w:after="120" w:line="240" w:lineRule="auto"/>
        <w:jc w:val="both"/>
        <w:rPr>
          <w:rFonts w:eastAsia="Calibri" w:cstheme="minorHAnsi"/>
          <w:b/>
          <w:caps/>
          <w:sz w:val="24"/>
          <w:szCs w:val="20"/>
          <w:lang w:val="pl" w:eastAsia="pl-PL"/>
        </w:rPr>
      </w:pPr>
    </w:p>
    <w:p w14:paraId="46315981" w14:textId="77777777" w:rsidR="009E690C" w:rsidRDefault="009E690C" w:rsidP="008D40A3">
      <w:pPr>
        <w:spacing w:before="120" w:after="120" w:line="240" w:lineRule="auto"/>
        <w:jc w:val="both"/>
        <w:rPr>
          <w:rFonts w:eastAsia="Calibri" w:cstheme="minorHAnsi"/>
          <w:b/>
          <w:caps/>
          <w:sz w:val="24"/>
          <w:szCs w:val="20"/>
          <w:lang w:val="pl" w:eastAsia="pl-PL"/>
        </w:rPr>
      </w:pPr>
    </w:p>
    <w:p w14:paraId="488AF8DA" w14:textId="77777777" w:rsidR="00BF03D0" w:rsidRDefault="009E690C" w:rsidP="00BF03D0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 xml:space="preserve">Przepisy </w:t>
      </w:r>
      <w:r w:rsidR="00CB3599">
        <w:rPr>
          <w:rFonts w:eastAsia="Calibri" w:cstheme="minorHAnsi"/>
          <w:sz w:val="24"/>
          <w:szCs w:val="20"/>
          <w:lang w:val="pl" w:eastAsia="pl-PL"/>
        </w:rPr>
        <w:t>określające</w:t>
      </w:r>
      <w:r>
        <w:rPr>
          <w:rFonts w:eastAsia="Calibri" w:cstheme="minorHAnsi"/>
          <w:sz w:val="24"/>
          <w:szCs w:val="20"/>
          <w:lang w:val="pl" w:eastAsia="pl-PL"/>
        </w:rPr>
        <w:t xml:space="preserve"> zasady ustalania </w:t>
      </w:r>
      <w:r w:rsidR="00CB3599">
        <w:rPr>
          <w:rFonts w:eastAsia="Calibri" w:cstheme="minorHAnsi"/>
          <w:sz w:val="24"/>
          <w:szCs w:val="20"/>
          <w:lang w:val="pl" w:eastAsia="pl-PL"/>
        </w:rPr>
        <w:t xml:space="preserve">preferencyjnego </w:t>
      </w:r>
      <w:r>
        <w:rPr>
          <w:rFonts w:eastAsia="Calibri" w:cstheme="minorHAnsi"/>
          <w:sz w:val="24"/>
          <w:szCs w:val="20"/>
          <w:lang w:val="pl" w:eastAsia="pl-PL"/>
        </w:rPr>
        <w:t xml:space="preserve">pochodzenia towarów w handlu pomiędzy krajami tzw. strefy pan-euro-śródziemnomorskiej (strefa PEM) początkowo były zawarte w protokołach dotyczących definicji pojęcia „produkty pochodzące” oraz metod </w:t>
      </w:r>
      <w:r w:rsidR="00CB3599">
        <w:rPr>
          <w:rFonts w:eastAsia="Calibri" w:cstheme="minorHAnsi"/>
          <w:sz w:val="24"/>
          <w:szCs w:val="20"/>
          <w:lang w:val="pl" w:eastAsia="pl-PL"/>
        </w:rPr>
        <w:t>współpracy</w:t>
      </w:r>
      <w:r>
        <w:rPr>
          <w:rFonts w:eastAsia="Calibri" w:cstheme="minorHAnsi"/>
          <w:sz w:val="24"/>
          <w:szCs w:val="20"/>
          <w:lang w:val="pl" w:eastAsia="pl-PL"/>
        </w:rPr>
        <w:t xml:space="preserve"> administracyjnej</w:t>
      </w:r>
      <w:r w:rsidR="000500BB">
        <w:rPr>
          <w:rFonts w:eastAsia="Calibri" w:cstheme="minorHAnsi"/>
          <w:sz w:val="24"/>
          <w:szCs w:val="20"/>
          <w:lang w:val="pl" w:eastAsia="pl-PL"/>
        </w:rPr>
        <w:t>, obecnie niekiedy nazywane są „starymi protokołami”. Niektóre z nich obowiązują i są stosowane do chwili obecnej.</w:t>
      </w:r>
    </w:p>
    <w:p w14:paraId="58293DDA" w14:textId="505D043E" w:rsidR="00D32782" w:rsidRDefault="000500BB" w:rsidP="00BF03D0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Strefa PEM powstała w wyniku rozszerzenia wcześniej</w:t>
      </w:r>
      <w:r w:rsidR="00BF03D0">
        <w:rPr>
          <w:rFonts w:eastAsia="Calibri" w:cstheme="minorHAnsi"/>
          <w:sz w:val="24"/>
          <w:szCs w:val="20"/>
          <w:lang w:val="pl" w:eastAsia="pl-PL"/>
        </w:rPr>
        <w:t xml:space="preserve"> istniejącej</w:t>
      </w:r>
      <w:r>
        <w:rPr>
          <w:rFonts w:eastAsia="Calibri" w:cstheme="minorHAnsi"/>
          <w:sz w:val="24"/>
          <w:szCs w:val="20"/>
          <w:lang w:val="pl" w:eastAsia="pl-PL"/>
        </w:rPr>
        <w:t xml:space="preserve"> strefy pan-europejskiej, która składała się z ówczesnej Wspólnoty Europejskiej, krajów EFTA, Polski, Czech i Słowacji</w:t>
      </w:r>
      <w:r w:rsidR="00BF03D0">
        <w:rPr>
          <w:rFonts w:eastAsia="Calibri" w:cstheme="minorHAnsi"/>
          <w:sz w:val="24"/>
          <w:szCs w:val="20"/>
          <w:lang w:val="pl" w:eastAsia="pl-PL"/>
        </w:rPr>
        <w:t xml:space="preserve"> oraz przystępujących do niej kolejnych krajów takich jak Rumunia, Bułgaria, Litwa, </w:t>
      </w:r>
      <w:r w:rsidR="00B54871">
        <w:rPr>
          <w:rFonts w:eastAsia="Calibri" w:cstheme="minorHAnsi"/>
          <w:sz w:val="24"/>
          <w:szCs w:val="20"/>
          <w:lang w:val="pl" w:eastAsia="pl-PL"/>
        </w:rPr>
        <w:t>Łotwa</w:t>
      </w:r>
      <w:r w:rsidR="00BF03D0">
        <w:rPr>
          <w:rFonts w:eastAsia="Calibri" w:cstheme="minorHAnsi"/>
          <w:sz w:val="24"/>
          <w:szCs w:val="20"/>
          <w:lang w:val="pl" w:eastAsia="pl-PL"/>
        </w:rPr>
        <w:t xml:space="preserve">, Estonia, Słowenia oraz Chorwacja. W czasie, gdy Polska jak i niektóre z krajów strefy pan-europejskiej negocjowały swoje członkostwo we Wspólnocie do strefy tej przyłączyły się kraje tzw. </w:t>
      </w:r>
      <w:r w:rsidR="003C4B16">
        <w:rPr>
          <w:rFonts w:eastAsia="Calibri" w:cstheme="minorHAnsi"/>
          <w:sz w:val="24"/>
          <w:szCs w:val="20"/>
          <w:lang w:val="pl" w:eastAsia="pl-PL"/>
        </w:rPr>
        <w:t>P</w:t>
      </w:r>
      <w:r w:rsidR="00BF03D0">
        <w:rPr>
          <w:rFonts w:eastAsia="Calibri" w:cstheme="minorHAnsi"/>
          <w:sz w:val="24"/>
          <w:szCs w:val="20"/>
          <w:lang w:val="pl" w:eastAsia="pl-PL"/>
        </w:rPr>
        <w:t>rocesu barcelońskiego czyli kraje śródziemnomorskie. W ten sposób powstała strefa PEM. W kolejnych latach strefa PEM nadal się powiększała. Dołączyły do niej kraje bałkańskie, a później także kraje objęte Partnerstwem Wschodnim. Obecnie nie ma planów dalszego rozszerzania strefy PEM.</w:t>
      </w:r>
    </w:p>
    <w:p w14:paraId="65EC045C" w14:textId="78FA6FE9" w:rsidR="00BF03D0" w:rsidRDefault="00BF03D0" w:rsidP="00BF03D0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Zarządzanie regułami pochodzenia w rozszerzającej się strefie kumulacji pochodzenia stwarzało szereg problemów, ponieważ opierała się ona na identyczności reguł pochodzenia w umowach o wolnym handlu zawieranych pomiędzy poszczególnymi krajami strefy. Każd</w:t>
      </w:r>
      <w:r w:rsidR="00B30B83">
        <w:rPr>
          <w:rFonts w:eastAsia="Calibri" w:cstheme="minorHAnsi"/>
          <w:sz w:val="24"/>
          <w:szCs w:val="20"/>
          <w:lang w:val="pl" w:eastAsia="pl-PL"/>
        </w:rPr>
        <w:t>a</w:t>
      </w:r>
      <w:r>
        <w:rPr>
          <w:rFonts w:eastAsia="Calibri" w:cstheme="minorHAnsi"/>
          <w:sz w:val="24"/>
          <w:szCs w:val="20"/>
          <w:lang w:val="pl" w:eastAsia="pl-PL"/>
        </w:rPr>
        <w:t xml:space="preserve"> ewentualna korekta </w:t>
      </w:r>
      <w:r w:rsidR="00B30B83">
        <w:rPr>
          <w:rFonts w:eastAsia="Calibri" w:cstheme="minorHAnsi"/>
          <w:sz w:val="24"/>
          <w:szCs w:val="20"/>
          <w:lang w:val="pl" w:eastAsia="pl-PL"/>
        </w:rPr>
        <w:t xml:space="preserve">obowiązujących </w:t>
      </w:r>
      <w:r>
        <w:rPr>
          <w:rFonts w:eastAsia="Calibri" w:cstheme="minorHAnsi"/>
          <w:sz w:val="24"/>
          <w:szCs w:val="20"/>
          <w:lang w:val="pl" w:eastAsia="pl-PL"/>
        </w:rPr>
        <w:t>reguł</w:t>
      </w:r>
      <w:r w:rsidR="00B30B83">
        <w:rPr>
          <w:rFonts w:eastAsia="Calibri" w:cstheme="minorHAnsi"/>
          <w:sz w:val="24"/>
          <w:szCs w:val="20"/>
          <w:lang w:val="pl" w:eastAsia="pl-PL"/>
        </w:rPr>
        <w:t xml:space="preserve"> pociągała za sobą konieczność wprowadzenia zmian do wielu umów międzynarodowych jakimi są umowy o wolnym handlu.</w:t>
      </w:r>
    </w:p>
    <w:p w14:paraId="3AA43BD3" w14:textId="57B8E0D3" w:rsidR="00B30B83" w:rsidRDefault="00B30B83" w:rsidP="00BF03D0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Celem uproszczenia systemu członkowie strefy PEM podjęli decyzję, żeby powstał jeden akt prawny określających zasady ustalania pochodzenia towarów w strefie PEM, natomiast poszczególne umowy miały tylko odwoływać się do tego jednego instrumentu prawnego. Ewentualne zmiany w regułach wymagają w takim przypadku zmiany tylko jednego aktu prawnego. Różne protokoły zawierały w sobie identyczne regulacje i zostały one przeniesione do nowego instrumentu prawnego strefy PEM jakim została Regionalna konwencja w sprawie pan-euro-śródziemnomorskich preferencyjnych reguł pochodzenia</w:t>
      </w:r>
      <w:r w:rsidR="00B54871">
        <w:rPr>
          <w:rFonts w:eastAsia="Calibri" w:cstheme="minorHAnsi"/>
          <w:sz w:val="24"/>
          <w:szCs w:val="20"/>
          <w:lang w:val="pl" w:eastAsia="pl-PL"/>
        </w:rPr>
        <w:t xml:space="preserve"> (Konwencja PEM)</w:t>
      </w:r>
      <w:r>
        <w:rPr>
          <w:rFonts w:eastAsia="Calibri" w:cstheme="minorHAnsi"/>
          <w:sz w:val="24"/>
          <w:szCs w:val="20"/>
          <w:lang w:val="pl" w:eastAsia="pl-PL"/>
        </w:rPr>
        <w:t>.</w:t>
      </w:r>
    </w:p>
    <w:p w14:paraId="6E4BA346" w14:textId="58367665" w:rsidR="00B54871" w:rsidRDefault="00B54871" w:rsidP="00BF03D0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 xml:space="preserve">Kolejnym krokiem była decyzja o podjęcie negocjacji mających na celu zmodernizowanie reguł pochodzenia w strefie PEM i dostosowanie ich do odmiennej sytuacji ekonomicznej w porównaniu do czasów gdy uzgodnione zostały „stare” reguł pochodzenia. Z uwagi na dużą liczbę stron członków Konwencji PEM uzgodnienie nowych reguł nie było łatwym zadaniem, a zmiana Konwencji wymaga jednomyślności. </w:t>
      </w:r>
      <w:r w:rsidR="00A62632">
        <w:rPr>
          <w:rFonts w:eastAsia="Calibri" w:cstheme="minorHAnsi"/>
          <w:sz w:val="24"/>
          <w:szCs w:val="20"/>
          <w:lang w:val="pl" w:eastAsia="pl-PL"/>
        </w:rPr>
        <w:t>Kompromis udało osiągnąć się dopiero w 2023 roku i w konsekwencji Wspólny Komitet Konwencj</w:t>
      </w:r>
      <w:r w:rsidR="00B249E8">
        <w:rPr>
          <w:rFonts w:eastAsia="Calibri" w:cstheme="minorHAnsi"/>
          <w:sz w:val="24"/>
          <w:szCs w:val="20"/>
          <w:lang w:val="pl" w:eastAsia="pl-PL"/>
        </w:rPr>
        <w:t>i</w:t>
      </w:r>
      <w:r w:rsidR="00A62632">
        <w:rPr>
          <w:rFonts w:eastAsia="Calibri" w:cstheme="minorHAnsi"/>
          <w:sz w:val="24"/>
          <w:szCs w:val="20"/>
          <w:lang w:val="pl" w:eastAsia="pl-PL"/>
        </w:rPr>
        <w:t xml:space="preserve"> PEM podjął decyzję 1/2023 o zmianie </w:t>
      </w:r>
      <w:r w:rsidR="00A62632">
        <w:rPr>
          <w:rFonts w:eastAsia="Calibri" w:cstheme="minorHAnsi"/>
          <w:sz w:val="24"/>
          <w:szCs w:val="20"/>
          <w:lang w:val="pl" w:eastAsia="pl-PL"/>
        </w:rPr>
        <w:lastRenderedPageBreak/>
        <w:t xml:space="preserve">Konwencji. Zmiana ta miała wejść w życie 1 stycznia 2025 r. Niestety nie wszystkie kraje strony Konwencji zdążyły przeprowadzić wewnętrzne procedury ratyfikacyjne i tylko część z nich jest gotowa na pełne i wyłączne stosowanie „nowych” reguł. Stosowanie zmodernizowanych reguł było już możliwe </w:t>
      </w:r>
      <w:r w:rsidR="000714F9">
        <w:rPr>
          <w:rFonts w:eastAsia="Calibri" w:cstheme="minorHAnsi"/>
          <w:sz w:val="24"/>
          <w:szCs w:val="20"/>
          <w:lang w:val="pl" w:eastAsia="pl-PL"/>
        </w:rPr>
        <w:t>wcześniej tj. od 1 września 2021 r.</w:t>
      </w:r>
      <w:r w:rsidR="00A62632">
        <w:rPr>
          <w:rFonts w:eastAsia="Calibri" w:cstheme="minorHAnsi"/>
          <w:sz w:val="24"/>
          <w:szCs w:val="20"/>
          <w:lang w:val="pl" w:eastAsia="pl-PL"/>
        </w:rPr>
        <w:t xml:space="preserve"> w handlu pomiędzy niektórymi krajami, które przeprowadziły konieczne do tego procedury wewnętrzne. Był to okres kiedy stosowane były tzw. „reguły przejściowe”. Unia Europejska stosowała reguły przejściowe w handlu z tym krajami stronami Konwencji PEM, które także je wdrożyły. W handlu z pozostałymi stronami Konwencj</w:t>
      </w:r>
      <w:r w:rsidR="000714F9">
        <w:rPr>
          <w:rFonts w:eastAsia="Calibri" w:cstheme="minorHAnsi"/>
          <w:sz w:val="24"/>
          <w:szCs w:val="20"/>
          <w:lang w:val="pl" w:eastAsia="pl-PL"/>
        </w:rPr>
        <w:t>i</w:t>
      </w:r>
      <w:r w:rsidR="00A62632">
        <w:rPr>
          <w:rFonts w:eastAsia="Calibri" w:cstheme="minorHAnsi"/>
          <w:sz w:val="24"/>
          <w:szCs w:val="20"/>
          <w:lang w:val="pl" w:eastAsia="pl-PL"/>
        </w:rPr>
        <w:t xml:space="preserve"> PEM zastosowanie miały „stare” reguły pochodzenia. Żeby zachować możliwości kumulacji pochodzenia pomiędzy „starymi” i „nowymi” regułami wprowadzona została zasada tzw. </w:t>
      </w:r>
      <w:r w:rsidR="00514144">
        <w:rPr>
          <w:rFonts w:eastAsia="Calibri" w:cstheme="minorHAnsi"/>
          <w:sz w:val="24"/>
          <w:szCs w:val="20"/>
          <w:lang w:val="pl" w:eastAsia="pl-PL"/>
        </w:rPr>
        <w:t>przenikalności. Była ona częściowo ograniczona, ale w praktyce mogła być stosowan</w:t>
      </w:r>
      <w:r w:rsidR="000714F9">
        <w:rPr>
          <w:rFonts w:eastAsia="Calibri" w:cstheme="minorHAnsi"/>
          <w:sz w:val="24"/>
          <w:szCs w:val="20"/>
          <w:lang w:val="pl" w:eastAsia="pl-PL"/>
        </w:rPr>
        <w:t>a</w:t>
      </w:r>
      <w:r w:rsidR="00514144">
        <w:rPr>
          <w:rFonts w:eastAsia="Calibri" w:cstheme="minorHAnsi"/>
          <w:sz w:val="24"/>
          <w:szCs w:val="20"/>
          <w:lang w:val="pl" w:eastAsia="pl-PL"/>
        </w:rPr>
        <w:t xml:space="preserve"> w</w:t>
      </w:r>
      <w:r w:rsidR="000714F9">
        <w:rPr>
          <w:rFonts w:eastAsia="Calibri" w:cstheme="minorHAnsi"/>
          <w:sz w:val="24"/>
          <w:szCs w:val="20"/>
          <w:lang w:val="pl" w:eastAsia="pl-PL"/>
        </w:rPr>
        <w:t> </w:t>
      </w:r>
      <w:r w:rsidR="00514144">
        <w:rPr>
          <w:rFonts w:eastAsia="Calibri" w:cstheme="minorHAnsi"/>
          <w:sz w:val="24"/>
          <w:szCs w:val="20"/>
          <w:lang w:val="pl" w:eastAsia="pl-PL"/>
        </w:rPr>
        <w:t>większości przypadków.</w:t>
      </w:r>
    </w:p>
    <w:p w14:paraId="266502FB" w14:textId="76C8699F" w:rsidR="00514144" w:rsidRDefault="00514144" w:rsidP="00BF03D0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 xml:space="preserve">Jakkolwiek uzgodnioną datą wejścia w życie nowych, zmodernizowanych reguł był dzień 1 stycznia 2025 r. to niestety nadal nie wszystkie kraje strony Konwencji dopełniły koniecznych formalności, żeby zacząć </w:t>
      </w:r>
      <w:r w:rsidR="00904FFF">
        <w:rPr>
          <w:rFonts w:eastAsia="Calibri" w:cstheme="minorHAnsi"/>
          <w:sz w:val="24"/>
          <w:szCs w:val="20"/>
          <w:lang w:val="pl" w:eastAsia="pl-PL"/>
        </w:rPr>
        <w:t xml:space="preserve">je w praktyce </w:t>
      </w:r>
      <w:r>
        <w:rPr>
          <w:rFonts w:eastAsia="Calibri" w:cstheme="minorHAnsi"/>
          <w:sz w:val="24"/>
          <w:szCs w:val="20"/>
          <w:lang w:val="pl" w:eastAsia="pl-PL"/>
        </w:rPr>
        <w:t xml:space="preserve">stosować od tego dnia. Dlatego 12.12.2024 r. Wspólny Komitet Konwencji PEM podjął decyzję 2/2024, która wprowadza na okres jednego roku, czyli do 31.12.2025 r., okres przejściowy, w którym wszystkie pozostałe kraje strony Konwencji PEM powinny zakończyć procedury wewnętrze i przejść </w:t>
      </w:r>
      <w:r w:rsidR="00904FFF">
        <w:rPr>
          <w:rFonts w:eastAsia="Calibri" w:cstheme="minorHAnsi"/>
          <w:sz w:val="24"/>
          <w:szCs w:val="20"/>
          <w:lang w:val="pl" w:eastAsia="pl-PL"/>
        </w:rPr>
        <w:t xml:space="preserve">wyłącznie </w:t>
      </w:r>
      <w:r>
        <w:rPr>
          <w:rFonts w:eastAsia="Calibri" w:cstheme="minorHAnsi"/>
          <w:sz w:val="24"/>
          <w:szCs w:val="20"/>
          <w:lang w:val="pl" w:eastAsia="pl-PL"/>
        </w:rPr>
        <w:t>na stosowanie nowych reguł. W</w:t>
      </w:r>
      <w:r w:rsidR="00904FFF">
        <w:rPr>
          <w:rFonts w:eastAsia="Calibri" w:cstheme="minorHAnsi"/>
          <w:sz w:val="24"/>
          <w:szCs w:val="20"/>
          <w:lang w:val="pl" w:eastAsia="pl-PL"/>
        </w:rPr>
        <w:t> </w:t>
      </w:r>
      <w:r>
        <w:rPr>
          <w:rFonts w:eastAsia="Calibri" w:cstheme="minorHAnsi"/>
          <w:sz w:val="24"/>
          <w:szCs w:val="20"/>
          <w:lang w:val="pl" w:eastAsia="pl-PL"/>
        </w:rPr>
        <w:t>okresie tym stosowana ma też być zasada przenikalności.</w:t>
      </w:r>
    </w:p>
    <w:p w14:paraId="55515E19" w14:textId="4492C867" w:rsidR="00514144" w:rsidRDefault="00514144" w:rsidP="00BF03D0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Dla zobrazowania obecnie obowiązujących regulacji w zakresie reguł pochodzenia w strefie PEM, a przede wszystkim celem wyjaśnienia możliwości stosowania w niej kumulacji pochodzenia, przygotowane zostały poniższe wyjaśnienia.</w:t>
      </w:r>
    </w:p>
    <w:p w14:paraId="595E0B2E" w14:textId="07DFB829" w:rsidR="009E690C" w:rsidRDefault="009E690C" w:rsidP="008D40A3">
      <w:pPr>
        <w:spacing w:before="120" w:after="120" w:line="240" w:lineRule="auto"/>
        <w:jc w:val="both"/>
        <w:rPr>
          <w:rFonts w:eastAsia="Calibri" w:cstheme="minorHAnsi"/>
          <w:sz w:val="24"/>
          <w:szCs w:val="20"/>
          <w:lang w:val="pl" w:eastAsia="pl-PL"/>
        </w:rPr>
      </w:pPr>
    </w:p>
    <w:p w14:paraId="5FFF8E53" w14:textId="77777777" w:rsidR="009E690C" w:rsidRDefault="009E690C" w:rsidP="009E690C">
      <w:pPr>
        <w:spacing w:before="120" w:after="120" w:line="240" w:lineRule="auto"/>
        <w:jc w:val="both"/>
        <w:rPr>
          <w:rFonts w:eastAsia="Calibri" w:cstheme="minorHAnsi"/>
          <w:b/>
          <w:caps/>
          <w:sz w:val="24"/>
          <w:szCs w:val="20"/>
          <w:lang w:val="pl" w:eastAsia="pl-PL"/>
        </w:rPr>
      </w:pPr>
      <w:r w:rsidRPr="0082192E">
        <w:rPr>
          <w:rFonts w:eastAsia="Calibri" w:cstheme="minorHAnsi"/>
          <w:b/>
          <w:caps/>
          <w:sz w:val="24"/>
          <w:szCs w:val="20"/>
          <w:lang w:val="pl" w:eastAsia="pl-PL"/>
        </w:rPr>
        <w:t>skróty i definicje</w:t>
      </w:r>
    </w:p>
    <w:p w14:paraId="4A2AE4B1" w14:textId="0A071264" w:rsidR="008D40A3" w:rsidRPr="008D40A3" w:rsidRDefault="00E72912" w:rsidP="00CB3599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82192E">
        <w:rPr>
          <w:rFonts w:eastAsia="Calibri" w:cstheme="minorHAnsi"/>
          <w:b/>
          <w:sz w:val="24"/>
          <w:szCs w:val="20"/>
          <w:lang w:val="pl" w:eastAsia="pl-PL"/>
        </w:rPr>
        <w:t xml:space="preserve">HS: </w:t>
      </w:r>
      <w:r w:rsidR="008D40A3" w:rsidRPr="008D40A3">
        <w:rPr>
          <w:rFonts w:eastAsia="Calibri" w:cstheme="minorHAnsi"/>
          <w:sz w:val="24"/>
          <w:szCs w:val="20"/>
          <w:lang w:val="pl-PL" w:eastAsia="pl-PL"/>
        </w:rPr>
        <w:t>międzynarodowy systemem klasyfikacji towarów opracowany przez Światową Organizację Celną (WCO), określany jako System Zharmonizowany</w:t>
      </w:r>
    </w:p>
    <w:p w14:paraId="64B8998E" w14:textId="367F3F52" w:rsidR="00E72912" w:rsidRPr="007C4199" w:rsidRDefault="00E72912" w:rsidP="00CB3599">
      <w:pPr>
        <w:spacing w:before="120" w:after="120"/>
        <w:jc w:val="both"/>
        <w:rPr>
          <w:rFonts w:eastAsia="Calibri" w:cstheme="minorHAnsi"/>
          <w:b/>
          <w:sz w:val="24"/>
          <w:szCs w:val="20"/>
          <w:lang w:val="pl" w:eastAsia="pl-PL"/>
        </w:rPr>
      </w:pP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Konwencja: 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 xml:space="preserve">Regionalna </w:t>
      </w:r>
      <w:r w:rsidR="005F667D">
        <w:rPr>
          <w:rFonts w:eastAsia="Times New Roman" w:cstheme="minorHAnsi"/>
          <w:sz w:val="24"/>
          <w:szCs w:val="20"/>
          <w:lang w:val="pl" w:eastAsia="pl-PL"/>
        </w:rPr>
        <w:t>k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onwencja w sprawie pan</w:t>
      </w:r>
      <w:r w:rsidR="005F667D">
        <w:rPr>
          <w:rFonts w:eastAsia="Times New Roman" w:cstheme="minorHAnsi"/>
          <w:sz w:val="24"/>
          <w:szCs w:val="20"/>
          <w:lang w:val="pl" w:eastAsia="pl-PL"/>
        </w:rPr>
        <w:t>-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euro</w:t>
      </w:r>
      <w:r w:rsidR="005F667D">
        <w:rPr>
          <w:rFonts w:eastAsia="Times New Roman" w:cstheme="minorHAnsi"/>
          <w:sz w:val="24"/>
          <w:szCs w:val="20"/>
          <w:lang w:val="pl" w:eastAsia="pl-PL"/>
        </w:rPr>
        <w:t>-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 xml:space="preserve">śródziemnomorskich </w:t>
      </w:r>
      <w:r w:rsidR="008D40A3" w:rsidRPr="007C4199">
        <w:rPr>
          <w:rFonts w:eastAsia="Times New Roman" w:cstheme="minorHAnsi"/>
          <w:sz w:val="24"/>
          <w:szCs w:val="20"/>
          <w:lang w:val="pl" w:eastAsia="pl-PL"/>
        </w:rPr>
        <w:t xml:space="preserve">preferencyjnych 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reguł pochodzenia (zwana dalej „</w:t>
      </w:r>
      <w:r w:rsidR="005F667D">
        <w:rPr>
          <w:rFonts w:eastAsia="Times New Roman" w:cstheme="minorHAnsi"/>
          <w:sz w:val="24"/>
          <w:szCs w:val="20"/>
          <w:lang w:val="pl" w:eastAsia="pl-PL"/>
        </w:rPr>
        <w:t>K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onwencją</w:t>
      </w:r>
      <w:r w:rsidR="005E159E">
        <w:rPr>
          <w:rFonts w:eastAsia="Times New Roman" w:cstheme="minorHAnsi"/>
          <w:sz w:val="24"/>
          <w:szCs w:val="20"/>
          <w:lang w:val="pl" w:eastAsia="pl-PL"/>
        </w:rPr>
        <w:t xml:space="preserve"> PEM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”)</w:t>
      </w:r>
    </w:p>
    <w:p w14:paraId="18E7C171" w14:textId="3AD7A0D4" w:rsidR="00E72912" w:rsidRPr="007C4199" w:rsidRDefault="00E72912" w:rsidP="00E72912">
      <w:pPr>
        <w:spacing w:before="120" w:after="120" w:line="240" w:lineRule="auto"/>
        <w:jc w:val="both"/>
        <w:rPr>
          <w:rFonts w:eastAsia="Times New Roman" w:cstheme="minorHAnsi"/>
          <w:b/>
          <w:bCs/>
          <w:sz w:val="24"/>
          <w:szCs w:val="20"/>
          <w:lang w:val="pl" w:eastAsia="pl-PL"/>
        </w:rPr>
      </w:pPr>
      <w:r w:rsidRPr="007C4199">
        <w:rPr>
          <w:rFonts w:eastAsia="Times New Roman" w:cstheme="minorHAnsi"/>
          <w:b/>
          <w:bCs/>
          <w:sz w:val="24"/>
          <w:szCs w:val="20"/>
          <w:lang w:val="pl" w:eastAsia="pl-PL"/>
        </w:rPr>
        <w:t>Umawiające się Strony Konwencji</w:t>
      </w:r>
      <w:r w:rsidR="00D32782" w:rsidRPr="00176B71">
        <w:rPr>
          <w:rFonts w:eastAsia="Times New Roman" w:cstheme="minorHAnsi"/>
          <w:sz w:val="24"/>
          <w:szCs w:val="20"/>
          <w:lang w:val="pl" w:eastAsia="pl-PL"/>
        </w:rPr>
        <w:t xml:space="preserve"> (zwane dalej: </w:t>
      </w:r>
      <w:proofErr w:type="spellStart"/>
      <w:r w:rsidR="00176B71" w:rsidRPr="00176B71">
        <w:rPr>
          <w:rFonts w:eastAsia="Times New Roman" w:cstheme="minorHAnsi"/>
          <w:sz w:val="24"/>
          <w:szCs w:val="20"/>
          <w:lang w:val="pl" w:eastAsia="pl-PL"/>
        </w:rPr>
        <w:t>Contracting</w:t>
      </w:r>
      <w:proofErr w:type="spellEnd"/>
      <w:r w:rsidR="00176B71" w:rsidRPr="00176B71">
        <w:rPr>
          <w:rFonts w:eastAsia="Times New Roman" w:cstheme="minorHAnsi"/>
          <w:sz w:val="24"/>
          <w:szCs w:val="20"/>
          <w:lang w:val="pl" w:eastAsia="pl-PL"/>
        </w:rPr>
        <w:t xml:space="preserve"> </w:t>
      </w:r>
      <w:proofErr w:type="spellStart"/>
      <w:r w:rsidR="00176B71" w:rsidRPr="00176B71">
        <w:rPr>
          <w:rFonts w:eastAsia="Times New Roman" w:cstheme="minorHAnsi"/>
          <w:sz w:val="24"/>
          <w:szCs w:val="20"/>
          <w:lang w:val="pl" w:eastAsia="pl-PL"/>
        </w:rPr>
        <w:t>Parties</w:t>
      </w:r>
      <w:proofErr w:type="spellEnd"/>
      <w:r w:rsidR="005F667D">
        <w:rPr>
          <w:rFonts w:eastAsia="Times New Roman" w:cstheme="minorHAnsi"/>
          <w:sz w:val="24"/>
          <w:szCs w:val="20"/>
          <w:lang w:val="pl" w:eastAsia="pl-PL"/>
        </w:rPr>
        <w:t xml:space="preserve"> </w:t>
      </w:r>
      <w:r w:rsidR="00176B71" w:rsidRPr="00176B71">
        <w:rPr>
          <w:rFonts w:eastAsia="Times New Roman" w:cstheme="minorHAnsi"/>
          <w:sz w:val="24"/>
          <w:szCs w:val="20"/>
          <w:lang w:val="pl" w:eastAsia="pl-PL"/>
        </w:rPr>
        <w:t xml:space="preserve">- </w:t>
      </w:r>
      <w:proofErr w:type="spellStart"/>
      <w:r w:rsidR="00176B71" w:rsidRPr="00176B71">
        <w:rPr>
          <w:rFonts w:eastAsia="Times New Roman" w:cstheme="minorHAnsi"/>
          <w:sz w:val="24"/>
          <w:szCs w:val="20"/>
          <w:lang w:val="pl" w:eastAsia="pl-PL"/>
        </w:rPr>
        <w:t>CP</w:t>
      </w:r>
      <w:r w:rsidR="00A62D23">
        <w:rPr>
          <w:rFonts w:eastAsia="Times New Roman" w:cstheme="minorHAnsi"/>
          <w:sz w:val="24"/>
          <w:szCs w:val="20"/>
          <w:lang w:val="pl" w:eastAsia="pl-PL"/>
        </w:rPr>
        <w:t>s</w:t>
      </w:r>
      <w:proofErr w:type="spellEnd"/>
      <w:r w:rsidR="00176B71" w:rsidRPr="00176B71">
        <w:rPr>
          <w:rFonts w:eastAsia="Times New Roman" w:cstheme="minorHAnsi"/>
          <w:sz w:val="24"/>
          <w:szCs w:val="20"/>
          <w:lang w:val="pl" w:eastAsia="pl-PL"/>
        </w:rPr>
        <w:t>)</w:t>
      </w:r>
      <w:r w:rsidR="005F667D">
        <w:rPr>
          <w:rFonts w:eastAsia="Times New Roman" w:cstheme="minorHAnsi"/>
          <w:sz w:val="24"/>
          <w:szCs w:val="20"/>
          <w:lang w:val="pl" w:eastAsia="pl-PL"/>
        </w:rPr>
        <w:t>:</w:t>
      </w:r>
    </w:p>
    <w:p w14:paraId="0DF4D243" w14:textId="4AA366F9" w:rsidR="00E72912" w:rsidRPr="007C4199" w:rsidRDefault="00E72912" w:rsidP="00E72912">
      <w:pPr>
        <w:numPr>
          <w:ilvl w:val="0"/>
          <w:numId w:val="37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U</w:t>
      </w:r>
      <w:r w:rsidR="0082192E" w:rsidRPr="007C4199">
        <w:rPr>
          <w:rFonts w:eastAsia="Calibri" w:cstheme="minorHAnsi"/>
          <w:sz w:val="24"/>
          <w:szCs w:val="20"/>
          <w:lang w:val="pl" w:eastAsia="pl-PL"/>
        </w:rPr>
        <w:t xml:space="preserve">nia </w:t>
      </w:r>
      <w:r w:rsidRPr="007C4199">
        <w:rPr>
          <w:rFonts w:eastAsia="Calibri" w:cstheme="minorHAnsi"/>
          <w:sz w:val="24"/>
          <w:szCs w:val="20"/>
          <w:lang w:val="pl" w:eastAsia="pl-PL"/>
        </w:rPr>
        <w:t>E</w:t>
      </w:r>
      <w:r w:rsidR="0082192E" w:rsidRPr="007C4199">
        <w:rPr>
          <w:rFonts w:eastAsia="Calibri" w:cstheme="minorHAnsi"/>
          <w:sz w:val="24"/>
          <w:szCs w:val="20"/>
          <w:lang w:val="pl" w:eastAsia="pl-PL"/>
        </w:rPr>
        <w:t>uropejska</w:t>
      </w:r>
      <w:r w:rsidRPr="007C4199">
        <w:rPr>
          <w:rFonts w:eastAsia="Calibri" w:cstheme="minorHAnsi"/>
          <w:sz w:val="24"/>
          <w:szCs w:val="20"/>
          <w:lang w:val="pl" w:eastAsia="pl-PL"/>
        </w:rPr>
        <w:t>,</w:t>
      </w:r>
    </w:p>
    <w:p w14:paraId="04330F63" w14:textId="2BE585F7" w:rsidR="00E72912" w:rsidRPr="007C4199" w:rsidRDefault="0082192E" w:rsidP="00E72912">
      <w:pPr>
        <w:numPr>
          <w:ilvl w:val="0"/>
          <w:numId w:val="37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Państwa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 xml:space="preserve"> EFTA (Szwajcaria, Norwegia, Islandia i Liechtenstein),</w:t>
      </w:r>
    </w:p>
    <w:p w14:paraId="35E20189" w14:textId="77777777" w:rsidR="00E72912" w:rsidRPr="007C4199" w:rsidRDefault="00E72912" w:rsidP="00E72912">
      <w:pPr>
        <w:numPr>
          <w:ilvl w:val="0"/>
          <w:numId w:val="37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Wyspy Owcze,</w:t>
      </w:r>
    </w:p>
    <w:p w14:paraId="3A61C3EE" w14:textId="7F3D19A4" w:rsidR="00E72912" w:rsidRPr="007C4199" w:rsidRDefault="00E72912" w:rsidP="00E72912">
      <w:pPr>
        <w:numPr>
          <w:ilvl w:val="0"/>
          <w:numId w:val="37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uczestni</w:t>
      </w:r>
      <w:r w:rsidR="0082192E" w:rsidRPr="007C4199">
        <w:rPr>
          <w:rFonts w:eastAsia="Calibri" w:cstheme="minorHAnsi"/>
          <w:sz w:val="24"/>
          <w:szCs w:val="20"/>
          <w:lang w:val="pl" w:eastAsia="pl-PL"/>
        </w:rPr>
        <w:t>cy</w:t>
      </w:r>
      <w:r w:rsidRPr="007C4199">
        <w:rPr>
          <w:rFonts w:eastAsia="Calibri" w:cstheme="minorHAnsi"/>
          <w:sz w:val="24"/>
          <w:szCs w:val="20"/>
          <w:lang w:val="pl" w:eastAsia="pl-PL"/>
        </w:rPr>
        <w:t xml:space="preserve"> </w:t>
      </w:r>
      <w:r w:rsidR="003C4B16">
        <w:rPr>
          <w:rFonts w:eastAsia="Calibri" w:cstheme="minorHAnsi"/>
          <w:sz w:val="24"/>
          <w:szCs w:val="20"/>
          <w:lang w:val="pl" w:eastAsia="pl-PL"/>
        </w:rPr>
        <w:t>P</w:t>
      </w:r>
      <w:r w:rsidRPr="007C4199">
        <w:rPr>
          <w:rFonts w:eastAsia="Calibri" w:cstheme="minorHAnsi"/>
          <w:sz w:val="24"/>
          <w:szCs w:val="20"/>
          <w:lang w:val="pl" w:eastAsia="pl-PL"/>
        </w:rPr>
        <w:t>rocesu barcelońskiego (Algieria, Egipt, Izrael, Jordania, Liban, Maroko,</w:t>
      </w:r>
      <w:r w:rsidR="0082192E" w:rsidRPr="007C4199">
        <w:rPr>
          <w:rFonts w:eastAsia="Calibri" w:cstheme="minorHAnsi"/>
          <w:sz w:val="24"/>
          <w:szCs w:val="20"/>
          <w:lang w:val="pl" w:eastAsia="pl-PL"/>
        </w:rPr>
        <w:t xml:space="preserve"> Palestyna, Syria, Tunezja i Turcja</w:t>
      </w:r>
      <w:r w:rsidRPr="007C4199">
        <w:rPr>
          <w:rFonts w:eastAsia="Calibri" w:cstheme="minorHAnsi"/>
          <w:sz w:val="24"/>
          <w:szCs w:val="20"/>
          <w:lang w:val="pl" w:eastAsia="pl-PL"/>
        </w:rPr>
        <w:t>),</w:t>
      </w:r>
    </w:p>
    <w:p w14:paraId="53A64F29" w14:textId="5A64BD9A" w:rsidR="00E72912" w:rsidRPr="007C4199" w:rsidRDefault="00E72912" w:rsidP="00E72912">
      <w:pPr>
        <w:numPr>
          <w:ilvl w:val="0"/>
          <w:numId w:val="37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uczestnicy procesu stabilizacji i stowarzyszenia UE (Albania, Bośnia i Hercegowina, Macedoni</w:t>
      </w:r>
      <w:r w:rsidR="005F667D">
        <w:rPr>
          <w:rFonts w:eastAsia="Calibri" w:cstheme="minorHAnsi"/>
          <w:sz w:val="24"/>
          <w:szCs w:val="20"/>
          <w:lang w:val="pl" w:eastAsia="pl-PL"/>
        </w:rPr>
        <w:t>a</w:t>
      </w:r>
      <w:r w:rsidRPr="007C4199">
        <w:rPr>
          <w:rFonts w:eastAsia="Calibri" w:cstheme="minorHAnsi"/>
          <w:sz w:val="24"/>
          <w:szCs w:val="20"/>
          <w:lang w:val="pl" w:eastAsia="pl-PL"/>
        </w:rPr>
        <w:t xml:space="preserve"> Północn</w:t>
      </w:r>
      <w:r w:rsidR="005F667D">
        <w:rPr>
          <w:rFonts w:eastAsia="Calibri" w:cstheme="minorHAnsi"/>
          <w:sz w:val="24"/>
          <w:szCs w:val="20"/>
          <w:lang w:val="pl" w:eastAsia="pl-PL"/>
        </w:rPr>
        <w:t>a</w:t>
      </w:r>
      <w:r w:rsidRPr="007C4199">
        <w:rPr>
          <w:rFonts w:eastAsia="Calibri" w:cstheme="minorHAnsi"/>
          <w:sz w:val="24"/>
          <w:szCs w:val="20"/>
          <w:lang w:val="pl" w:eastAsia="pl-PL"/>
        </w:rPr>
        <w:t xml:space="preserve">, Czarnogóra, Serbia </w:t>
      </w:r>
      <w:r w:rsidR="0082192E" w:rsidRPr="007C4199">
        <w:rPr>
          <w:rFonts w:eastAsia="Calibri" w:cstheme="minorHAnsi"/>
          <w:sz w:val="24"/>
          <w:szCs w:val="20"/>
          <w:lang w:val="pl" w:eastAsia="pl-PL"/>
        </w:rPr>
        <w:t>i Kosowo),</w:t>
      </w:r>
    </w:p>
    <w:p w14:paraId="2E37BF99" w14:textId="6D64055A" w:rsidR="00E72912" w:rsidRPr="007C4199" w:rsidRDefault="00E72912" w:rsidP="00E72912">
      <w:pPr>
        <w:numPr>
          <w:ilvl w:val="0"/>
          <w:numId w:val="37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Moł</w:t>
      </w:r>
      <w:r w:rsidR="0082192E" w:rsidRPr="007C4199">
        <w:rPr>
          <w:rFonts w:eastAsia="Calibri" w:cstheme="minorHAnsi"/>
          <w:sz w:val="24"/>
          <w:szCs w:val="20"/>
          <w:lang w:val="pl" w:eastAsia="pl-PL"/>
        </w:rPr>
        <w:t>dawi</w:t>
      </w:r>
      <w:r w:rsidR="005F667D">
        <w:rPr>
          <w:rFonts w:eastAsia="Calibri" w:cstheme="minorHAnsi"/>
          <w:sz w:val="24"/>
          <w:szCs w:val="20"/>
          <w:lang w:val="pl" w:eastAsia="pl-PL"/>
        </w:rPr>
        <w:t>a</w:t>
      </w:r>
      <w:r w:rsidR="0082192E" w:rsidRPr="007C4199">
        <w:rPr>
          <w:rFonts w:eastAsia="Calibri" w:cstheme="minorHAnsi"/>
          <w:sz w:val="24"/>
          <w:szCs w:val="20"/>
          <w:lang w:val="pl" w:eastAsia="pl-PL"/>
        </w:rPr>
        <w:t>,</w:t>
      </w:r>
    </w:p>
    <w:p w14:paraId="2BBE130C" w14:textId="77777777" w:rsidR="00E72912" w:rsidRPr="007C4199" w:rsidRDefault="00E72912" w:rsidP="00E72912">
      <w:pPr>
        <w:numPr>
          <w:ilvl w:val="0"/>
          <w:numId w:val="37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Gruzja,</w:t>
      </w:r>
    </w:p>
    <w:p w14:paraId="35ED6B42" w14:textId="37667188" w:rsidR="00E72912" w:rsidRPr="007C4199" w:rsidRDefault="00E72912" w:rsidP="00E72912">
      <w:pPr>
        <w:numPr>
          <w:ilvl w:val="0"/>
          <w:numId w:val="37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Ukraina.</w:t>
      </w:r>
    </w:p>
    <w:p w14:paraId="701E4AF1" w14:textId="77777777" w:rsidR="0082192E" w:rsidRPr="007C4199" w:rsidRDefault="0082192E" w:rsidP="0082192E">
      <w:pPr>
        <w:spacing w:before="120" w:after="120" w:line="240" w:lineRule="auto"/>
        <w:ind w:left="720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</w:p>
    <w:p w14:paraId="703889C8" w14:textId="6EDE1BD7" w:rsidR="00E72912" w:rsidRPr="007C4199" w:rsidRDefault="00E72912" w:rsidP="00CB3599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Wspólny </w:t>
      </w:r>
      <w:r w:rsidR="0082192E" w:rsidRPr="007C4199">
        <w:rPr>
          <w:rFonts w:eastAsia="Calibri" w:cstheme="minorHAnsi"/>
          <w:b/>
          <w:sz w:val="24"/>
          <w:szCs w:val="20"/>
          <w:lang w:val="pl" w:eastAsia="pl-PL"/>
        </w:rPr>
        <w:t>K</w:t>
      </w: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omitet: </w:t>
      </w:r>
      <w:r w:rsidR="0082192E" w:rsidRPr="007C4199">
        <w:rPr>
          <w:rFonts w:eastAsia="Calibri" w:cstheme="minorHAnsi"/>
          <w:bCs/>
          <w:sz w:val="24"/>
          <w:szCs w:val="20"/>
          <w:lang w:val="pl" w:eastAsia="pl-PL"/>
        </w:rPr>
        <w:t xml:space="preserve">Wspólny Komitet ustanowiony </w:t>
      </w:r>
      <w:r w:rsidR="005F667D">
        <w:rPr>
          <w:rFonts w:eastAsia="Calibri" w:cstheme="minorHAnsi"/>
          <w:bCs/>
          <w:sz w:val="24"/>
          <w:szCs w:val="20"/>
          <w:lang w:val="pl" w:eastAsia="pl-PL"/>
        </w:rPr>
        <w:t>K</w:t>
      </w:r>
      <w:r w:rsidR="0082192E" w:rsidRPr="007C4199">
        <w:rPr>
          <w:rFonts w:eastAsia="Calibri" w:cstheme="minorHAnsi"/>
          <w:bCs/>
          <w:sz w:val="24"/>
          <w:szCs w:val="20"/>
          <w:lang w:val="pl" w:eastAsia="pl-PL"/>
        </w:rPr>
        <w:t>onwencją</w:t>
      </w:r>
      <w:r w:rsidR="005E159E">
        <w:rPr>
          <w:rFonts w:eastAsia="Calibri" w:cstheme="minorHAnsi"/>
          <w:bCs/>
          <w:sz w:val="24"/>
          <w:szCs w:val="20"/>
          <w:lang w:val="pl" w:eastAsia="pl-PL"/>
        </w:rPr>
        <w:t xml:space="preserve"> PEM</w:t>
      </w:r>
    </w:p>
    <w:p w14:paraId="440AB072" w14:textId="0D0A627E" w:rsidR="00E72912" w:rsidRPr="007C4199" w:rsidRDefault="007C4199" w:rsidP="00CB3599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b/>
          <w:sz w:val="24"/>
          <w:szCs w:val="20"/>
          <w:lang w:val="pl" w:eastAsia="pl-PL"/>
        </w:rPr>
        <w:lastRenderedPageBreak/>
        <w:t>Reguły</w:t>
      </w:r>
      <w:r w:rsidR="00E72912"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 z 2012 r.: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 xml:space="preserve"> </w:t>
      </w:r>
      <w:r w:rsidRPr="007C4199">
        <w:rPr>
          <w:rFonts w:eastAsia="Calibri" w:cstheme="minorHAnsi"/>
          <w:sz w:val="24"/>
          <w:szCs w:val="20"/>
          <w:lang w:val="pl" w:eastAsia="pl-PL"/>
        </w:rPr>
        <w:t>reguły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 xml:space="preserve"> zawarte w </w:t>
      </w:r>
      <w:r w:rsidRPr="007C4199">
        <w:rPr>
          <w:rFonts w:eastAsia="Calibri" w:cstheme="minorHAnsi"/>
          <w:sz w:val="24"/>
          <w:szCs w:val="20"/>
          <w:lang w:val="pl" w:eastAsia="pl-PL"/>
        </w:rPr>
        <w:t>D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 xml:space="preserve">odatku 1 do </w:t>
      </w:r>
      <w:r w:rsidR="005F667D">
        <w:rPr>
          <w:rFonts w:eastAsia="Calibri" w:cstheme="minorHAnsi"/>
          <w:sz w:val="24"/>
          <w:szCs w:val="20"/>
          <w:lang w:val="pl" w:eastAsia="pl-PL"/>
        </w:rPr>
        <w:t>K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 xml:space="preserve">onwencji </w:t>
      </w:r>
      <w:r w:rsidR="003C4B16">
        <w:rPr>
          <w:rFonts w:eastAsia="Calibri" w:cstheme="minorHAnsi"/>
          <w:sz w:val="24"/>
          <w:szCs w:val="20"/>
          <w:lang w:val="pl" w:eastAsia="pl-PL"/>
        </w:rPr>
        <w:t xml:space="preserve">PEM 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w wersji opublikowanej w</w:t>
      </w:r>
      <w:r w:rsidR="003C4B16">
        <w:rPr>
          <w:rFonts w:eastAsia="Calibri" w:cstheme="minorHAnsi"/>
          <w:sz w:val="24"/>
          <w:szCs w:val="20"/>
          <w:lang w:val="pl" w:eastAsia="pl-PL"/>
        </w:rPr>
        <w:t> 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Dz.</w:t>
      </w:r>
      <w:r w:rsidR="005F667D">
        <w:rPr>
          <w:rFonts w:eastAsia="Calibri" w:cstheme="minorHAnsi"/>
          <w:sz w:val="24"/>
          <w:szCs w:val="20"/>
          <w:lang w:val="pl" w:eastAsia="pl-PL"/>
        </w:rPr>
        <w:t xml:space="preserve"> 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U</w:t>
      </w:r>
      <w:r w:rsidR="005F667D">
        <w:rPr>
          <w:rFonts w:eastAsia="Calibri" w:cstheme="minorHAnsi"/>
          <w:sz w:val="24"/>
          <w:szCs w:val="20"/>
          <w:lang w:val="pl" w:eastAsia="pl-PL"/>
        </w:rPr>
        <w:t>rz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. UE L 54 z 26 lutego 2013 r.</w:t>
      </w:r>
    </w:p>
    <w:p w14:paraId="691FE9BE" w14:textId="35A279A4" w:rsidR="00E72912" w:rsidRPr="007C4199" w:rsidRDefault="007C4199" w:rsidP="00CB3599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Times New Roman" w:cstheme="minorHAnsi"/>
          <w:b/>
          <w:bCs/>
          <w:sz w:val="24"/>
          <w:szCs w:val="20"/>
          <w:lang w:val="pl" w:eastAsia="pl-PL"/>
        </w:rPr>
        <w:t>Reguły z 20</w:t>
      </w:r>
      <w:r w:rsidR="005F667D">
        <w:rPr>
          <w:rFonts w:eastAsia="Times New Roman" w:cstheme="minorHAnsi"/>
          <w:b/>
          <w:bCs/>
          <w:sz w:val="24"/>
          <w:szCs w:val="20"/>
          <w:lang w:val="pl" w:eastAsia="pl-PL"/>
        </w:rPr>
        <w:t>2</w:t>
      </w:r>
      <w:r w:rsidRPr="007C4199">
        <w:rPr>
          <w:rFonts w:eastAsia="Times New Roman" w:cstheme="minorHAnsi"/>
          <w:b/>
          <w:bCs/>
          <w:sz w:val="24"/>
          <w:szCs w:val="20"/>
          <w:lang w:val="pl" w:eastAsia="pl-PL"/>
        </w:rPr>
        <w:t>3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 xml:space="preserve"> </w:t>
      </w:r>
      <w:r w:rsidR="00E72912" w:rsidRPr="007C4199">
        <w:rPr>
          <w:rFonts w:eastAsia="Calibri" w:cstheme="minorHAnsi"/>
          <w:b/>
          <w:sz w:val="24"/>
          <w:szCs w:val="20"/>
          <w:lang w:val="pl" w:eastAsia="pl-PL"/>
        </w:rPr>
        <w:t>r.</w:t>
      </w: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: </w:t>
      </w:r>
      <w:r w:rsidRPr="007C4199">
        <w:rPr>
          <w:rFonts w:eastAsia="Calibri" w:cstheme="minorHAnsi"/>
          <w:bCs/>
          <w:sz w:val="24"/>
          <w:szCs w:val="20"/>
          <w:lang w:val="pl" w:eastAsia="pl-PL"/>
        </w:rPr>
        <w:t>reguły</w:t>
      </w:r>
      <w:r w:rsidR="00E72912" w:rsidRPr="007C4199">
        <w:rPr>
          <w:rFonts w:eastAsia="Calibri" w:cstheme="minorHAnsi"/>
          <w:bCs/>
          <w:sz w:val="24"/>
          <w:szCs w:val="20"/>
          <w:lang w:val="pl" w:eastAsia="pl-PL"/>
        </w:rPr>
        <w:t xml:space="preserve"> zawarte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 xml:space="preserve"> w </w:t>
      </w:r>
      <w:r w:rsidRPr="007C4199">
        <w:rPr>
          <w:rFonts w:eastAsia="Calibri" w:cstheme="minorHAnsi"/>
          <w:sz w:val="24"/>
          <w:szCs w:val="20"/>
          <w:lang w:val="pl" w:eastAsia="pl-PL"/>
        </w:rPr>
        <w:t>D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odatku</w:t>
      </w:r>
      <w:r w:rsidR="00E72912"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 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1 do</w:t>
      </w:r>
      <w:r w:rsidR="00E72912"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 </w:t>
      </w:r>
      <w:r w:rsidR="007E25C8">
        <w:rPr>
          <w:rFonts w:eastAsia="Calibri" w:cstheme="minorHAnsi"/>
          <w:sz w:val="24"/>
          <w:szCs w:val="20"/>
          <w:lang w:val="pl" w:eastAsia="pl-PL"/>
        </w:rPr>
        <w:t>K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 xml:space="preserve">onwencji </w:t>
      </w:r>
      <w:r w:rsidR="003C4B16">
        <w:rPr>
          <w:rFonts w:eastAsia="Calibri" w:cstheme="minorHAnsi"/>
          <w:sz w:val="24"/>
          <w:szCs w:val="20"/>
          <w:lang w:val="pl" w:eastAsia="pl-PL"/>
        </w:rPr>
        <w:t xml:space="preserve">PEM 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 xml:space="preserve">w wersji zmienionej </w:t>
      </w:r>
      <w:r w:rsidRPr="007C4199">
        <w:rPr>
          <w:rFonts w:eastAsia="Calibri" w:cstheme="minorHAnsi"/>
          <w:sz w:val="24"/>
          <w:szCs w:val="20"/>
          <w:lang w:val="pl" w:eastAsia="pl-PL"/>
        </w:rPr>
        <w:t>D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ecyzją nr 1/2023 Wspólnego Komitetu i opublikowanej w Dz.</w:t>
      </w:r>
      <w:r w:rsidR="007E25C8">
        <w:rPr>
          <w:rFonts w:eastAsia="Calibri" w:cstheme="minorHAnsi"/>
          <w:sz w:val="24"/>
          <w:szCs w:val="20"/>
          <w:lang w:val="pl" w:eastAsia="pl-PL"/>
        </w:rPr>
        <w:t xml:space="preserve"> 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U</w:t>
      </w:r>
      <w:r w:rsidR="007E25C8">
        <w:rPr>
          <w:rFonts w:eastAsia="Calibri" w:cstheme="minorHAnsi"/>
          <w:sz w:val="24"/>
          <w:szCs w:val="20"/>
          <w:lang w:val="pl" w:eastAsia="pl-PL"/>
        </w:rPr>
        <w:t>rz</w:t>
      </w:r>
      <w:r w:rsidR="00E72912" w:rsidRPr="007C4199">
        <w:rPr>
          <w:rFonts w:eastAsia="Calibri" w:cstheme="minorHAnsi"/>
          <w:sz w:val="24"/>
          <w:szCs w:val="20"/>
          <w:lang w:val="pl" w:eastAsia="pl-PL"/>
        </w:rPr>
        <w:t>. UE L</w:t>
      </w:r>
      <w:r w:rsidR="00E72912" w:rsidRPr="007C4199">
        <w:rPr>
          <w:rFonts w:eastAsia="Times New Roman" w:cstheme="minorHAnsi"/>
          <w:sz w:val="24"/>
          <w:szCs w:val="20"/>
          <w:lang w:val="pl" w:eastAsia="pl-PL"/>
        </w:rPr>
        <w:t xml:space="preserve"> 2024/390 z 19 lutego 2024 r.</w:t>
      </w:r>
    </w:p>
    <w:p w14:paraId="582A205E" w14:textId="3F24AA5F" w:rsidR="00D32782" w:rsidRPr="00D32782" w:rsidRDefault="00D32782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/>
          <w:sz w:val="24"/>
          <w:szCs w:val="24"/>
          <w:lang w:val="pl"/>
        </w:rPr>
        <w:t>Stare protokoły PEM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: 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>p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rotokoły dwustronne mające zastosowanie między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zawierające reguły pochodzenia poprzedzające 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 xml:space="preserve">wprowadzenie 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>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onwencj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>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3C4B16"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 xml:space="preserve">w wersji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opublikowa</w:t>
      </w:r>
      <w:r w:rsidR="00176B71">
        <w:rPr>
          <w:rFonts w:eastAsia="Times New Roman" w:cstheme="minorHAnsi"/>
          <w:bCs/>
          <w:sz w:val="24"/>
          <w:szCs w:val="24"/>
          <w:lang w:val="pl"/>
        </w:rPr>
        <w:t>n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>ej</w:t>
      </w:r>
      <w:r w:rsidR="00176B71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w</w:t>
      </w:r>
      <w:r w:rsidR="003C4B16"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Dz.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U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>rz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. UE L 54 z 26 lutego 2013 r.</w:t>
      </w:r>
    </w:p>
    <w:p w14:paraId="6328ADA8" w14:textId="7F8BBB2F" w:rsidR="00D32782" w:rsidRDefault="00D32782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/>
          <w:sz w:val="24"/>
          <w:szCs w:val="24"/>
          <w:lang w:val="pl"/>
        </w:rPr>
        <w:t>Przejściowe reguły pochodzenia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: zestaw</w:t>
      </w:r>
      <w:r w:rsidR="00945DA0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r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eguł pochodzenia mających zastosowanie 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>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>niektórymi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>, równolegle z regułami z 2012 r., do czasu przyjęcia i wejścia w życie reguł z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2023</w:t>
      </w:r>
      <w:r w:rsidR="007E25C8"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r.</w:t>
      </w:r>
    </w:p>
    <w:p w14:paraId="23CA41C0" w14:textId="0950069C" w:rsidR="00176B71" w:rsidRPr="0046417E" w:rsidRDefault="0046417E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>
        <w:rPr>
          <w:rFonts w:eastAsia="Times New Roman" w:cstheme="minorHAnsi"/>
          <w:b/>
          <w:sz w:val="24"/>
          <w:szCs w:val="24"/>
          <w:lang w:val="pl"/>
        </w:rPr>
        <w:t>Matrix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: </w:t>
      </w:r>
      <w:r w:rsidR="00A239CB">
        <w:rPr>
          <w:rFonts w:eastAsia="Times New Roman" w:cstheme="minorHAnsi"/>
          <w:bCs/>
          <w:sz w:val="24"/>
          <w:szCs w:val="24"/>
          <w:lang w:val="pl"/>
        </w:rPr>
        <w:t xml:space="preserve">tabela opisująca możliwości kumulacji pochodzenia pomiędzy </w:t>
      </w:r>
      <w:proofErr w:type="spellStart"/>
      <w:r w:rsidR="00A239CB">
        <w:rPr>
          <w:rFonts w:eastAsia="Times New Roman" w:cstheme="minorHAnsi"/>
          <w:bCs/>
          <w:sz w:val="24"/>
          <w:szCs w:val="24"/>
          <w:lang w:val="pl"/>
        </w:rPr>
        <w:t>CPs</w:t>
      </w:r>
      <w:proofErr w:type="spellEnd"/>
      <w:r w:rsidR="00A239CB">
        <w:rPr>
          <w:rFonts w:eastAsia="Times New Roman" w:cstheme="minorHAnsi"/>
          <w:bCs/>
          <w:sz w:val="24"/>
          <w:szCs w:val="24"/>
          <w:lang w:val="pl"/>
        </w:rPr>
        <w:t xml:space="preserve"> w str</w:t>
      </w:r>
      <w:r w:rsidR="00A057AA">
        <w:rPr>
          <w:rFonts w:eastAsia="Times New Roman" w:cstheme="minorHAnsi"/>
          <w:bCs/>
          <w:sz w:val="24"/>
          <w:szCs w:val="24"/>
          <w:lang w:val="pl"/>
        </w:rPr>
        <w:t>e</w:t>
      </w:r>
      <w:r w:rsidR="00A239CB">
        <w:rPr>
          <w:rFonts w:eastAsia="Times New Roman" w:cstheme="minorHAnsi"/>
          <w:bCs/>
          <w:sz w:val="24"/>
          <w:szCs w:val="24"/>
          <w:lang w:val="pl"/>
        </w:rPr>
        <w:t>fie PEM</w:t>
      </w:r>
      <w:r w:rsidR="00A057AA">
        <w:rPr>
          <w:rFonts w:eastAsia="Times New Roman" w:cstheme="minorHAnsi"/>
          <w:bCs/>
          <w:sz w:val="24"/>
          <w:szCs w:val="24"/>
          <w:lang w:val="pl"/>
        </w:rPr>
        <w:t xml:space="preserve">, publikowana przez Komisję Europejską w Dz. Urz. serii C jako zawiadomienie </w:t>
      </w:r>
      <w:r w:rsidR="00A057AA" w:rsidRPr="00A057AA">
        <w:rPr>
          <w:rFonts w:eastAsia="Times New Roman" w:cstheme="minorHAnsi"/>
          <w:bCs/>
          <w:sz w:val="24"/>
          <w:szCs w:val="24"/>
          <w:lang w:val="pl-PL"/>
        </w:rPr>
        <w:t>Komisji dotycząc</w:t>
      </w:r>
      <w:r w:rsidR="00A057AA">
        <w:rPr>
          <w:rFonts w:eastAsia="Times New Roman" w:cstheme="minorHAnsi"/>
          <w:bCs/>
          <w:sz w:val="24"/>
          <w:szCs w:val="24"/>
          <w:lang w:val="pl-PL"/>
        </w:rPr>
        <w:t>e</w:t>
      </w:r>
      <w:r w:rsidR="00A057AA" w:rsidRPr="00A057AA">
        <w:rPr>
          <w:rFonts w:eastAsia="Times New Roman" w:cstheme="minorHAnsi"/>
          <w:bCs/>
          <w:sz w:val="24"/>
          <w:szCs w:val="24"/>
          <w:lang w:val="pl-PL"/>
        </w:rPr>
        <w:t xml:space="preserve"> stosowania Regionalnej konwencji w sprawie pan-euro-śródziemnomorskich preferencyjnych reguł pochodzenia lub protokołów w sprawie reguł pochodzenia przewidujących kumulację diagonalną pomiędzy umawiającymi się stronami tej Konwencji</w:t>
      </w:r>
      <w:r w:rsidR="00A057AA">
        <w:rPr>
          <w:rFonts w:eastAsia="Times New Roman" w:cstheme="minorHAnsi"/>
          <w:bCs/>
          <w:sz w:val="24"/>
          <w:szCs w:val="24"/>
          <w:lang w:val="pl-PL"/>
        </w:rPr>
        <w:t>.</w:t>
      </w:r>
    </w:p>
    <w:p w14:paraId="23A91B38" w14:textId="03A6CA53" w:rsidR="009B22B5" w:rsidRDefault="009B22B5" w:rsidP="00CB3599">
      <w:pPr>
        <w:spacing w:before="120" w:after="120"/>
        <w:rPr>
          <w:rFonts w:eastAsia="Times New Roman" w:cstheme="minorHAnsi"/>
          <w:bCs/>
          <w:sz w:val="24"/>
          <w:szCs w:val="24"/>
          <w:lang w:val="pl"/>
        </w:rPr>
      </w:pPr>
    </w:p>
    <w:p w14:paraId="2A9AFB5F" w14:textId="4E0DA634" w:rsidR="00D32782" w:rsidRPr="009B22B5" w:rsidRDefault="00E74C9B" w:rsidP="005B1BFC">
      <w:pPr>
        <w:jc w:val="both"/>
        <w:rPr>
          <w:rFonts w:eastAsia="Times New Roman" w:cstheme="minorHAnsi"/>
          <w:b/>
          <w:color w:val="FF0000"/>
          <w:sz w:val="28"/>
          <w:szCs w:val="28"/>
          <w:lang w:val="pl"/>
        </w:rPr>
      </w:pPr>
      <w:r w:rsidRPr="009B22B5">
        <w:rPr>
          <w:rFonts w:eastAsia="Times New Roman" w:cstheme="minorHAnsi"/>
          <w:b/>
          <w:color w:val="FF0000"/>
          <w:sz w:val="28"/>
          <w:szCs w:val="28"/>
          <w:lang w:val="pl"/>
        </w:rPr>
        <w:t>1.</w:t>
      </w:r>
      <w:r w:rsidR="002B03CF" w:rsidRPr="009B22B5">
        <w:rPr>
          <w:rFonts w:eastAsia="Times New Roman" w:cstheme="minorHAnsi"/>
          <w:b/>
          <w:color w:val="FF0000"/>
          <w:sz w:val="28"/>
          <w:szCs w:val="28"/>
          <w:lang w:val="pl"/>
        </w:rPr>
        <w:t xml:space="preserve"> </w:t>
      </w:r>
      <w:r w:rsidR="000D1FED" w:rsidRPr="009B22B5">
        <w:rPr>
          <w:rFonts w:eastAsia="Times New Roman" w:cstheme="minorHAnsi"/>
          <w:b/>
          <w:color w:val="FF0000"/>
          <w:sz w:val="28"/>
          <w:szCs w:val="28"/>
          <w:lang w:val="pl"/>
        </w:rPr>
        <w:t>I</w:t>
      </w:r>
      <w:r w:rsidR="009B22B5" w:rsidRPr="009B22B5">
        <w:rPr>
          <w:rFonts w:eastAsia="Times New Roman" w:cstheme="minorHAnsi"/>
          <w:b/>
          <w:color w:val="FF0000"/>
          <w:sz w:val="28"/>
          <w:szCs w:val="28"/>
          <w:lang w:val="pl"/>
        </w:rPr>
        <w:t>NFORMACJE OGÓLNE</w:t>
      </w:r>
    </w:p>
    <w:p w14:paraId="16AA3039" w14:textId="6DE1A838" w:rsidR="00D32782" w:rsidRPr="00D32782" w:rsidRDefault="00D32782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Konwencja </w:t>
      </w:r>
      <w:r w:rsidR="003C4B16"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ma zastosowanie 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 xml:space="preserve">przy ustalaniu pochodzenia towarów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poprzez 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 xml:space="preserve">wprowadzenie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odniesie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>ń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do niej</w:t>
      </w:r>
      <w:r w:rsidR="004E6B8B">
        <w:rPr>
          <w:rFonts w:eastAsia="Times New Roman" w:cstheme="minorHAnsi"/>
          <w:bCs/>
          <w:sz w:val="24"/>
          <w:szCs w:val="24"/>
          <w:lang w:val="pl"/>
        </w:rPr>
        <w:t>,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zawart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>ych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protokołach w sprawie reguł pochodzenia do odpowiednich 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 xml:space="preserve">dwustronnych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umów 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>o wolnym handlu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945DA0">
        <w:rPr>
          <w:rFonts w:eastAsia="Times New Roman" w:cstheme="minorHAnsi"/>
          <w:bCs/>
          <w:sz w:val="24"/>
          <w:szCs w:val="24"/>
          <w:lang w:val="pl"/>
        </w:rPr>
        <w:t xml:space="preserve">zawartych </w:t>
      </w:r>
      <w:r w:rsidR="00904FFF">
        <w:rPr>
          <w:rFonts w:eastAsia="Times New Roman" w:cstheme="minorHAnsi"/>
          <w:bCs/>
          <w:sz w:val="24"/>
          <w:szCs w:val="24"/>
          <w:lang w:val="pl"/>
        </w:rPr>
        <w:t>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1A08C3D7" w14:textId="31C7FC03" w:rsidR="00D32782" w:rsidRPr="00D32782" w:rsidRDefault="00D32782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Możliwości kumulacji w 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>strefie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PEM opierają się na sieci porozumień między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przewidujących stosowanie identycznych reguł pochodzenia. Obejmują one postanowienia 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>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onwencji </w:t>
      </w:r>
      <w:r w:rsidR="00904FFF"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z 2012 r.</w:t>
      </w:r>
      <w:r w:rsidR="002B03CF">
        <w:rPr>
          <w:rFonts w:eastAsia="Times New Roman" w:cstheme="minorHAnsi"/>
          <w:bCs/>
          <w:sz w:val="24"/>
          <w:szCs w:val="24"/>
          <w:lang w:val="pl"/>
        </w:rPr>
        <w:t xml:space="preserve"> (reguły z 2012 r.)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, a także dwustronne stare protokoły</w:t>
      </w:r>
      <w:r w:rsidR="009B22B5">
        <w:rPr>
          <w:rFonts w:eastAsia="Times New Roman" w:cstheme="minorHAnsi"/>
          <w:bCs/>
          <w:sz w:val="24"/>
          <w:szCs w:val="24"/>
          <w:lang w:val="pl"/>
        </w:rPr>
        <w:t xml:space="preserve"> poprzedzające wdrożenie Konwencji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5D4DCD5F" w14:textId="2E98EA3E" w:rsidR="00D32782" w:rsidRPr="00D32782" w:rsidRDefault="00D32782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>Jednocześnie równolegle z regułami z 2012 r. stosowano alternatywny zestaw reguł pochodzenia (przejściowe reguły pochodzenia). Przepisy te weszły w życie 1 września 2021 r. na zasadzie dwustronn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ych porozumień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kilkoma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="00807EF4">
        <w:rPr>
          <w:rFonts w:eastAsia="Times New Roman" w:cstheme="minorHAnsi"/>
          <w:bCs/>
          <w:sz w:val="24"/>
          <w:szCs w:val="24"/>
          <w:lang w:val="pl"/>
        </w:rPr>
        <w:t>,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oczekiwaniu na wejście w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życie 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Stosowanie przejściowych reguł pochodzenia równolegle z regułami z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2012 r. stworzyło dwie odrębne strefy kumulacji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 xml:space="preserve"> pochodzenia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0CCC8D2E" w14:textId="5CEE9E39" w:rsidR="00D32782" w:rsidRPr="00D32782" w:rsidRDefault="00D32782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Konwencja </w:t>
      </w:r>
      <w:r w:rsidR="00904FFF"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została zmieniona </w:t>
      </w:r>
      <w:r w:rsidR="00904FFF">
        <w:rPr>
          <w:rFonts w:eastAsia="Times New Roman" w:cstheme="minorHAnsi"/>
          <w:bCs/>
          <w:sz w:val="24"/>
          <w:szCs w:val="24"/>
          <w:lang w:val="pl"/>
        </w:rPr>
        <w:t>D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ecyzją nr 1/2023 Wspólnego Komitetu z dnia 7 grudnia 2023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r.</w:t>
      </w:r>
      <w:r w:rsidR="006C674F">
        <w:rPr>
          <w:rStyle w:val="Odwoanieprzypisudolnego"/>
          <w:rFonts w:eastAsia="Times New Roman" w:cstheme="minorHAnsi"/>
          <w:bCs/>
          <w:sz w:val="24"/>
          <w:szCs w:val="24"/>
          <w:lang w:val="pl"/>
        </w:rPr>
        <w:footnoteReference w:id="1"/>
      </w:r>
      <w:r w:rsidRPr="00D32782">
        <w:rPr>
          <w:rFonts w:eastAsia="Times New Roman" w:cstheme="minorHAnsi"/>
          <w:bCs/>
          <w:sz w:val="24"/>
          <w:szCs w:val="24"/>
          <w:lang w:val="pl"/>
        </w:rPr>
        <w:t>, zastępując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ą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2012 r. 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Niniejsza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zmiana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</w:t>
      </w:r>
      <w:r w:rsidR="00904FFF">
        <w:rPr>
          <w:rFonts w:eastAsia="Times New Roman" w:cstheme="minorHAnsi"/>
          <w:bCs/>
          <w:sz w:val="24"/>
          <w:szCs w:val="24"/>
          <w:lang w:val="pl"/>
        </w:rPr>
        <w:t>eszła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życie z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dniem 1 stycznia 2025 r. w odniesieniu do wszystkich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1E50E51F" w14:textId="789E18FA" w:rsidR="00D32782" w:rsidRPr="00D32782" w:rsidRDefault="00D32782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Skuteczne stosowanie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m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iędzy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proofErr w:type="spellStart"/>
      <w:r w:rsidR="00BD1447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jest uzależnione od wprowadzenia </w:t>
      </w:r>
      <w:r w:rsidR="00C2309C" w:rsidRPr="00D32782">
        <w:rPr>
          <w:rFonts w:eastAsia="Times New Roman" w:cstheme="minorHAnsi"/>
          <w:bCs/>
          <w:sz w:val="24"/>
          <w:szCs w:val="24"/>
          <w:lang w:val="pl"/>
        </w:rPr>
        <w:t>w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 </w:t>
      </w:r>
      <w:r w:rsidR="00C2309C" w:rsidRPr="00D32782">
        <w:rPr>
          <w:rFonts w:eastAsia="Times New Roman" w:cstheme="minorHAnsi"/>
          <w:bCs/>
          <w:sz w:val="24"/>
          <w:szCs w:val="24"/>
          <w:lang w:val="pl"/>
        </w:rPr>
        <w:t xml:space="preserve">umowach dwustronnych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odniesienia do </w:t>
      </w:r>
      <w:r w:rsidR="00807EF4">
        <w:rPr>
          <w:rFonts w:eastAsia="Times New Roman" w:cstheme="minorHAnsi"/>
          <w:bCs/>
          <w:sz w:val="24"/>
          <w:szCs w:val="24"/>
          <w:lang w:val="pl"/>
        </w:rPr>
        <w:t>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onwencji </w:t>
      </w:r>
      <w:r w:rsidR="00904FFF"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w wersji ostatnio zmienionej </w:t>
      </w:r>
      <w:r w:rsidR="009B22B5" w:rsidRPr="00D32782">
        <w:rPr>
          <w:rFonts w:eastAsia="Times New Roman" w:cstheme="minorHAnsi"/>
          <w:bCs/>
          <w:sz w:val="24"/>
          <w:szCs w:val="24"/>
          <w:lang w:val="pl"/>
        </w:rPr>
        <w:t>(</w:t>
      </w:r>
      <w:r w:rsidR="009B22B5">
        <w:rPr>
          <w:rFonts w:eastAsia="Times New Roman" w:cstheme="minorHAnsi"/>
          <w:bCs/>
          <w:sz w:val="24"/>
          <w:szCs w:val="24"/>
          <w:lang w:val="pl"/>
        </w:rPr>
        <w:t xml:space="preserve">tzw. </w:t>
      </w:r>
      <w:r w:rsidR="009B22B5" w:rsidRPr="00D32782">
        <w:rPr>
          <w:rFonts w:eastAsia="Times New Roman" w:cstheme="minorHAnsi"/>
          <w:bCs/>
          <w:sz w:val="24"/>
          <w:szCs w:val="24"/>
          <w:lang w:val="pl"/>
        </w:rPr>
        <w:lastRenderedPageBreak/>
        <w:t>powiązanie dynamiczne</w:t>
      </w:r>
      <w:r w:rsidR="009B22B5">
        <w:rPr>
          <w:rFonts w:eastAsia="Times New Roman" w:cstheme="minorHAnsi"/>
          <w:bCs/>
          <w:sz w:val="24"/>
          <w:szCs w:val="24"/>
          <w:lang w:val="pl"/>
        </w:rPr>
        <w:t>)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. Do czasu aktualizacji umów dwustronnych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 xml:space="preserve">zawartych 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niektórymi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odniesieniu do 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onwencji </w:t>
      </w:r>
      <w:r w:rsidR="00904FFF"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="004E6B8B">
        <w:rPr>
          <w:rFonts w:eastAsia="Times New Roman" w:cstheme="minorHAnsi"/>
          <w:bCs/>
          <w:sz w:val="24"/>
          <w:szCs w:val="24"/>
          <w:lang w:val="pl"/>
        </w:rPr>
        <w:t xml:space="preserve">-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regułami pochodzenia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mającymi zastosowanie 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tymi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będą reguły zawarte w ich protokołach dwustronnych (reguły z 2012 r. lub stare protokoły PEM).</w:t>
      </w:r>
    </w:p>
    <w:p w14:paraId="20728DB6" w14:textId="7D2EB61F" w:rsidR="00D32782" w:rsidRPr="00D32782" w:rsidRDefault="00D32782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Od 1 stycznia 2025 r. </w:t>
      </w:r>
      <w:r w:rsidR="004E6B8B">
        <w:rPr>
          <w:rFonts w:eastAsia="Times New Roman" w:cstheme="minorHAnsi"/>
          <w:bCs/>
          <w:sz w:val="24"/>
          <w:szCs w:val="24"/>
          <w:lang w:val="pl"/>
        </w:rPr>
        <w:t>n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iektóre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proofErr w:type="spellStart"/>
      <w:r w:rsidR="00BD1447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będą stosować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r., podczas gdy inne nadal będą stosować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2012 r. lub stare protokoły PEM, przy czym potencjalne zmiany możliwości kumulacji diagonalnej będą miały wpływ na przepływy handlowe w obszarze PEM.</w:t>
      </w:r>
    </w:p>
    <w:p w14:paraId="65B3427A" w14:textId="06080944" w:rsidR="00D32782" w:rsidRPr="00D32782" w:rsidRDefault="009B22B5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>
        <w:rPr>
          <w:rFonts w:eastAsia="Times New Roman" w:cstheme="minorHAnsi"/>
          <w:bCs/>
          <w:sz w:val="24"/>
          <w:szCs w:val="24"/>
          <w:lang w:val="pl"/>
        </w:rPr>
        <w:t>Ponieważ</w:t>
      </w:r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 xml:space="preserve"> przejście na 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reguły</w:t>
      </w:r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nie odbywa się jednocześnie w odniesieniu do wszystkich </w:t>
      </w:r>
      <w:proofErr w:type="spellStart"/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 xml:space="preserve">, należy w jak największym 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 xml:space="preserve">możliwym </w:t>
      </w:r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>stopniu unikać sytuacji, któr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a</w:t>
      </w:r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 xml:space="preserve"> doprowadzi do mniej korzystn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ych rozwiązań</w:t>
      </w:r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 xml:space="preserve"> niż 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 xml:space="preserve">ma to miejsce </w:t>
      </w:r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>w poprzednich ramach prawnych. W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 </w:t>
      </w:r>
      <w:r w:rsidR="00D32782" w:rsidRPr="00D32782">
        <w:rPr>
          <w:rFonts w:eastAsia="Times New Roman" w:cstheme="minorHAnsi"/>
          <w:bCs/>
          <w:sz w:val="24"/>
          <w:szCs w:val="24"/>
          <w:lang w:val="pl"/>
        </w:rPr>
        <w:t>związku z tym wprowadza się na okres jednego roku, od dnia 1 stycznia 2025 r. do dnia 31 grudnia 2025 r.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 xml:space="preserve">- przepisy </w:t>
      </w:r>
      <w:r w:rsidR="00BD1447" w:rsidRPr="00D32782">
        <w:rPr>
          <w:rFonts w:eastAsia="Times New Roman" w:cstheme="minorHAnsi"/>
          <w:bCs/>
          <w:sz w:val="24"/>
          <w:szCs w:val="24"/>
          <w:lang w:val="pl"/>
        </w:rPr>
        <w:t xml:space="preserve">przejściowe dotyczące stosowania 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K</w:t>
      </w:r>
      <w:r w:rsidR="00BD1447" w:rsidRPr="00D32782">
        <w:rPr>
          <w:rFonts w:eastAsia="Times New Roman" w:cstheme="minorHAnsi"/>
          <w:bCs/>
          <w:sz w:val="24"/>
          <w:szCs w:val="24"/>
          <w:lang w:val="pl"/>
        </w:rPr>
        <w:t>onwencji</w:t>
      </w:r>
      <w:r w:rsidR="00904FFF">
        <w:rPr>
          <w:rFonts w:eastAsia="Times New Roman" w:cstheme="minorHAnsi"/>
          <w:bCs/>
          <w:sz w:val="24"/>
          <w:szCs w:val="24"/>
          <w:lang w:val="pl"/>
        </w:rPr>
        <w:t xml:space="preserve"> PEM</w:t>
      </w:r>
      <w:r w:rsidR="00C2309C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5B3E64EF" w14:textId="0EE49539" w:rsidR="00BD1447" w:rsidRPr="00BD1447" w:rsidRDefault="00D32782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Głównym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celem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przepisów przejściowych jest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pozostawienie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możliwości stosowania reguł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2012 r. równolegle z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,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relacjach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między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="008B4EBF">
        <w:rPr>
          <w:rFonts w:eastAsia="Times New Roman" w:cstheme="minorHAnsi"/>
          <w:bCs/>
          <w:sz w:val="24"/>
          <w:szCs w:val="24"/>
          <w:lang w:val="pl"/>
        </w:rPr>
        <w:t>,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odniesieniu do których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wchodzą w życie. Zapewni to utrzymanie przepływów handlowych w oparciu o możliwości kumulacji istniejące przed dniem 1 stycznia 2025 r.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 xml:space="preserve">Podmioty gospodarcze </w:t>
      </w:r>
      <w:r w:rsidR="00BD1447" w:rsidRPr="00BD1447">
        <w:rPr>
          <w:rFonts w:eastAsia="Times New Roman" w:cstheme="minorHAnsi"/>
          <w:bCs/>
          <w:sz w:val="24"/>
          <w:szCs w:val="24"/>
          <w:lang w:val="pl"/>
        </w:rPr>
        <w:t xml:space="preserve">mają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 xml:space="preserve">tym samym </w:t>
      </w:r>
      <w:r w:rsidR="009B22B5">
        <w:rPr>
          <w:rFonts w:eastAsia="Times New Roman" w:cstheme="minorHAnsi"/>
          <w:bCs/>
          <w:sz w:val="24"/>
          <w:szCs w:val="24"/>
          <w:lang w:val="pl"/>
        </w:rPr>
        <w:t xml:space="preserve">nadal </w:t>
      </w:r>
      <w:r w:rsidR="00BD1447" w:rsidRPr="00BD1447">
        <w:rPr>
          <w:rFonts w:eastAsia="Times New Roman" w:cstheme="minorHAnsi"/>
          <w:bCs/>
          <w:sz w:val="24"/>
          <w:szCs w:val="24"/>
          <w:lang w:val="pl"/>
        </w:rPr>
        <w:t xml:space="preserve">możliwość wyboru między dwoma mającymi zastosowanie zbiorami </w:t>
      </w:r>
      <w:r w:rsidR="00BD1447">
        <w:rPr>
          <w:rFonts w:eastAsia="Times New Roman" w:cstheme="minorHAnsi"/>
          <w:bCs/>
          <w:sz w:val="24"/>
          <w:szCs w:val="24"/>
          <w:lang w:val="pl"/>
        </w:rPr>
        <w:t>reguł poch</w:t>
      </w:r>
      <w:r w:rsidR="00BF3BD2">
        <w:rPr>
          <w:rFonts w:eastAsia="Times New Roman" w:cstheme="minorHAnsi"/>
          <w:bCs/>
          <w:sz w:val="24"/>
          <w:szCs w:val="24"/>
          <w:lang w:val="pl"/>
        </w:rPr>
        <w:t xml:space="preserve">odzenia,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biorąc pod uwagę</w:t>
      </w:r>
      <w:r w:rsidR="00BD1447" w:rsidRPr="00BD1447">
        <w:rPr>
          <w:rFonts w:eastAsia="Times New Roman" w:cstheme="minorHAnsi"/>
          <w:bCs/>
          <w:sz w:val="24"/>
          <w:szCs w:val="24"/>
          <w:lang w:val="pl"/>
        </w:rPr>
        <w:t xml:space="preserve"> swoje łańcuchy dostaw.</w:t>
      </w:r>
    </w:p>
    <w:p w14:paraId="03B301F7" w14:textId="4470CFAD" w:rsidR="00BD1447" w:rsidRPr="00BD1447" w:rsidRDefault="00BD1447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Przepisy przejściowe zapewniają również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 xml:space="preserve">tzw.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zasadę przenikalności 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po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między tymi dwoma zbiorami reguł pochodzenia. Oznacza to, że towary uznane za pochodzące w rozumieniu reguł z 2012 r. można również uznać </w:t>
      </w:r>
      <w:r w:rsidR="00A53143" w:rsidRPr="00BD1447">
        <w:rPr>
          <w:rFonts w:eastAsia="Times New Roman" w:cstheme="minorHAnsi"/>
          <w:bCs/>
          <w:sz w:val="24"/>
          <w:szCs w:val="24"/>
          <w:lang w:val="pl"/>
        </w:rPr>
        <w:t>do celów kumulacji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za pochodzące w rozumieniu reguł z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 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2023</w:t>
      </w:r>
      <w:r w:rsidR="00A53143">
        <w:rPr>
          <w:rFonts w:eastAsia="Times New Roman" w:cstheme="minorHAnsi"/>
          <w:bCs/>
          <w:sz w:val="24"/>
          <w:szCs w:val="24"/>
          <w:lang w:val="pl"/>
        </w:rPr>
        <w:t> 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r., o ile spełnione są określone warunki.</w:t>
      </w:r>
    </w:p>
    <w:p w14:paraId="055F0BBE" w14:textId="4F5586E0" w:rsidR="00BD1447" w:rsidRPr="00BD1447" w:rsidRDefault="00BD1447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W tym nowym kontekście zachowano </w:t>
      </w:r>
      <w:r w:rsidR="000714F9">
        <w:rPr>
          <w:rFonts w:eastAsia="Times New Roman" w:cstheme="minorHAnsi"/>
          <w:bCs/>
          <w:sz w:val="24"/>
          <w:szCs w:val="24"/>
          <w:lang w:val="pl"/>
        </w:rPr>
        <w:t xml:space="preserve">więc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elastyczność dla podmiotów gospodarczych, jak ma to miejsce w praktyce ustanowionej w wyniku równoległego stosowania przejściowych reguł pochodzenia z regułami z 2012 r. od dnia 1 września 2021 r.</w:t>
      </w:r>
    </w:p>
    <w:p w14:paraId="2A52358B" w14:textId="78FA19CB" w:rsidR="00BD1447" w:rsidRDefault="00BD1447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Przewidywany rozłożony w czasie proces wdrażania 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2023 r. i przepisów przejściowych prowadzi do trzech różnych statusów poszczególnych </w:t>
      </w:r>
      <w:proofErr w:type="spellStart"/>
      <w:r w:rsidR="005B1BFC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w 2025 r. Należy zauważyć, że 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 xml:space="preserve">dane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CP może mieć kilka różnych statusów w zależności od treści protokołu dwustronnego z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 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różnymi partnerami PEM.</w:t>
      </w:r>
    </w:p>
    <w:p w14:paraId="12C5383F" w14:textId="77777777" w:rsidR="00E74C9B" w:rsidRPr="00BD1447" w:rsidRDefault="00E74C9B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</w:p>
    <w:p w14:paraId="5A7E85AB" w14:textId="77777777" w:rsidR="005C4887" w:rsidRDefault="005C4887">
      <w:pPr>
        <w:rPr>
          <w:rFonts w:eastAsia="Times New Roman" w:cstheme="minorHAnsi"/>
          <w:b/>
          <w:bCs/>
          <w:color w:val="FF0000"/>
          <w:sz w:val="28"/>
          <w:szCs w:val="28"/>
          <w:lang w:val="pl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br w:type="page"/>
      </w:r>
    </w:p>
    <w:p w14:paraId="5D974BF6" w14:textId="1FDF7454" w:rsidR="00E74C9B" w:rsidRPr="009B22B5" w:rsidRDefault="00E74C9B" w:rsidP="00CB3599">
      <w:pPr>
        <w:spacing w:before="120" w:after="0"/>
        <w:jc w:val="both"/>
        <w:rPr>
          <w:rFonts w:eastAsia="Times New Roman" w:cstheme="minorHAnsi"/>
          <w:b/>
          <w:bCs/>
          <w:color w:val="FF0000"/>
          <w:sz w:val="28"/>
          <w:szCs w:val="28"/>
          <w:lang w:val="pl"/>
        </w:rPr>
      </w:pPr>
      <w:r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lastRenderedPageBreak/>
        <w:t>2.</w:t>
      </w:r>
      <w:r w:rsidR="00A62D23"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</w:t>
      </w:r>
      <w:r w:rsidR="00834162"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R</w:t>
      </w:r>
      <w:r w:rsid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ODZAJE</w:t>
      </w:r>
      <w:r w:rsidR="00834162"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</w:t>
      </w:r>
      <w:r w:rsid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STATUSU</w:t>
      </w:r>
      <w:r w:rsidR="00834162"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</w:t>
      </w:r>
      <w:proofErr w:type="spellStart"/>
      <w:r w:rsidR="00834162"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CP</w:t>
      </w:r>
      <w:r w:rsid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s</w:t>
      </w:r>
      <w:proofErr w:type="spellEnd"/>
    </w:p>
    <w:p w14:paraId="67D1A1B8" w14:textId="455E389D" w:rsidR="00BD1447" w:rsidRPr="00BD1447" w:rsidRDefault="00BD1447" w:rsidP="00CB3599">
      <w:pPr>
        <w:spacing w:before="120" w:after="0"/>
        <w:jc w:val="both"/>
        <w:rPr>
          <w:rFonts w:eastAsia="Times New Roman" w:cstheme="minorHAnsi"/>
          <w:b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/>
          <w:bCs/>
          <w:sz w:val="24"/>
          <w:szCs w:val="24"/>
          <w:lang w:val="pl"/>
        </w:rPr>
        <w:t xml:space="preserve">Status CR: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 xml:space="preserve">Umawiające się Strony stosujące między sobą </w:t>
      </w:r>
      <w:r w:rsidR="00834162" w:rsidRPr="00834162">
        <w:rPr>
          <w:rFonts w:eastAsia="Times New Roman" w:cstheme="minorHAnsi"/>
          <w:sz w:val="24"/>
          <w:szCs w:val="24"/>
          <w:u w:val="single"/>
          <w:lang w:val="pl"/>
        </w:rPr>
        <w:t xml:space="preserve">reguły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>z 2023 r. i przepisy przejściowe.</w:t>
      </w:r>
    </w:p>
    <w:p w14:paraId="70361045" w14:textId="23A31BA5" w:rsidR="00BD1447" w:rsidRPr="00BD1447" w:rsidRDefault="00BD1447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Status ten daje eksporterom możliwość wyboru między 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2012 r. 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i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2023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 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r. 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oraz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korzysta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>nia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możliwości kumulacji w ramach każdego 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 xml:space="preserve">z tych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zbior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ów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. Pozwala również na prze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>nikalność po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między tymi dwoma zbiorami 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651B0DA4" w14:textId="51D45BAF" w:rsidR="00BD1447" w:rsidRPr="00BD1447" w:rsidRDefault="00BD1447" w:rsidP="00CB3599">
      <w:pPr>
        <w:spacing w:before="120" w:after="0"/>
        <w:jc w:val="both"/>
        <w:rPr>
          <w:rFonts w:eastAsia="Times New Roman" w:cstheme="minorHAnsi"/>
          <w:b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/>
          <w:bCs/>
          <w:sz w:val="24"/>
          <w:szCs w:val="24"/>
          <w:lang w:val="pl"/>
        </w:rPr>
        <w:t xml:space="preserve">Status R: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 xml:space="preserve">Umawiające się Strony stosujące między sobą </w:t>
      </w:r>
      <w:r w:rsidR="00834162">
        <w:rPr>
          <w:rFonts w:eastAsia="Times New Roman" w:cstheme="minorHAnsi"/>
          <w:sz w:val="24"/>
          <w:szCs w:val="24"/>
          <w:u w:val="single"/>
          <w:lang w:val="pl"/>
        </w:rPr>
        <w:t>reguły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 xml:space="preserve"> z 2023 r. bez postanowień przejściowych.</w:t>
      </w:r>
    </w:p>
    <w:p w14:paraId="59E7400B" w14:textId="1D1725AC" w:rsidR="00BD1447" w:rsidRPr="00BD1447" w:rsidRDefault="00BD1447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Status ten odnosi się do tych </w:t>
      </w:r>
      <w:proofErr w:type="spellStart"/>
      <w:r w:rsidRPr="00BD1447">
        <w:rPr>
          <w:rFonts w:eastAsia="Times New Roman" w:cstheme="minorHAnsi"/>
          <w:bCs/>
          <w:sz w:val="24"/>
          <w:szCs w:val="24"/>
          <w:lang w:val="pl"/>
        </w:rPr>
        <w:t>CP</w:t>
      </w:r>
      <w:r w:rsidR="00A62D23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, które zaktualizowały swoje protokoły dwustronne 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 xml:space="preserve">wprowadzając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dynamiczn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>e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powiązanie z 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>K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onwencją</w:t>
      </w:r>
      <w:r w:rsidR="005C4887">
        <w:rPr>
          <w:rFonts w:eastAsia="Times New Roman" w:cstheme="minorHAnsi"/>
          <w:bCs/>
          <w:sz w:val="24"/>
          <w:szCs w:val="24"/>
          <w:lang w:val="pl"/>
        </w:rPr>
        <w:t xml:space="preserve"> PEM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, ale nie zakończyły jeszcze krajowych procedur dotyczących zatwierdz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>e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nia przepisów przejściowych.</w:t>
      </w:r>
    </w:p>
    <w:p w14:paraId="1790BC51" w14:textId="70F3E67E" w:rsidR="00BD1447" w:rsidRPr="00BD1447" w:rsidRDefault="00BD1447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Zgodnie z tym statusem zastosowanie mają 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2023 r., a kumulacja diagonalna będzie możliwa wyłącznie na podstawie 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 xml:space="preserve">reguł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z 2023 r. Oczekuje się, że możliwości kumulacji na podstawie 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2023 r. będą 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>się powiększały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>w trakcie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cał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>ego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2025 r.</w:t>
      </w:r>
    </w:p>
    <w:p w14:paraId="26952C7F" w14:textId="57DE6170" w:rsidR="00BD1447" w:rsidRPr="00BD1447" w:rsidRDefault="00BD1447" w:rsidP="00CB3599">
      <w:pPr>
        <w:spacing w:before="120" w:after="0"/>
        <w:jc w:val="both"/>
        <w:rPr>
          <w:rFonts w:eastAsia="Times New Roman" w:cstheme="minorHAnsi"/>
          <w:sz w:val="24"/>
          <w:szCs w:val="24"/>
          <w:u w:val="single"/>
          <w:lang w:val="pl"/>
        </w:rPr>
      </w:pPr>
      <w:r w:rsidRPr="00BD1447">
        <w:rPr>
          <w:rFonts w:eastAsia="Times New Roman" w:cstheme="minorHAnsi"/>
          <w:b/>
          <w:bCs/>
          <w:sz w:val="24"/>
          <w:szCs w:val="24"/>
          <w:lang w:val="pl"/>
        </w:rPr>
        <w:t xml:space="preserve">Status C: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 xml:space="preserve">Umawiające się Strony stosujące między sobą </w:t>
      </w:r>
      <w:r w:rsidR="00834162">
        <w:rPr>
          <w:rFonts w:eastAsia="Times New Roman" w:cstheme="minorHAnsi"/>
          <w:sz w:val="24"/>
          <w:szCs w:val="24"/>
          <w:u w:val="single"/>
          <w:lang w:val="pl"/>
        </w:rPr>
        <w:t xml:space="preserve">reguły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>z 2012 r. lub stare protokoły PEM.</w:t>
      </w:r>
    </w:p>
    <w:p w14:paraId="43D8B909" w14:textId="458073D8" w:rsidR="00BD1447" w:rsidRDefault="00BD1447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Status ten oznacza te </w:t>
      </w:r>
      <w:proofErr w:type="spellStart"/>
      <w:r w:rsidR="00834162">
        <w:rPr>
          <w:rFonts w:eastAsia="Times New Roman" w:cstheme="minorHAnsi"/>
          <w:bCs/>
          <w:sz w:val="24"/>
          <w:szCs w:val="24"/>
          <w:lang w:val="pl"/>
        </w:rPr>
        <w:t>CP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="00834162">
        <w:rPr>
          <w:rFonts w:eastAsia="Times New Roman" w:cstheme="minorHAnsi"/>
          <w:bCs/>
          <w:sz w:val="24"/>
          <w:szCs w:val="24"/>
          <w:lang w:val="pl"/>
        </w:rPr>
        <w:t>, k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tóre nadal stosują 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 xml:space="preserve">reguły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z 2012 r. lub stare protokoły PEM zgodnie z istniejącymi protokołami dwustronnym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 xml:space="preserve"> i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które nie zostały jeszcze zaktualizowane. Kumulacja </w:t>
      </w:r>
      <w:r w:rsidR="000F3BF6">
        <w:rPr>
          <w:rFonts w:eastAsia="Times New Roman" w:cstheme="minorHAnsi"/>
          <w:bCs/>
          <w:sz w:val="24"/>
          <w:szCs w:val="24"/>
          <w:lang w:val="pl"/>
        </w:rPr>
        <w:t xml:space="preserve">diagonalna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będzie możliwa wyłącznie na podstawie </w:t>
      </w:r>
      <w:r w:rsidR="000F3BF6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2012 r.</w:t>
      </w:r>
    </w:p>
    <w:p w14:paraId="7716DBE7" w14:textId="6B4A6F35" w:rsidR="00E74C9B" w:rsidRPr="00B14DD7" w:rsidRDefault="000F3BF6" w:rsidP="00CB3599">
      <w:pPr>
        <w:spacing w:before="120" w:after="0"/>
        <w:jc w:val="both"/>
        <w:rPr>
          <w:rFonts w:eastAsia="Times New Roman" w:cstheme="minorHAnsi"/>
          <w:sz w:val="24"/>
          <w:szCs w:val="24"/>
          <w:lang w:val="pl-PL"/>
        </w:rPr>
      </w:pPr>
      <w:r w:rsidRPr="00596D9C">
        <w:rPr>
          <w:rFonts w:eastAsia="Times New Roman" w:cstheme="minorHAnsi"/>
          <w:bCs/>
          <w:sz w:val="24"/>
          <w:szCs w:val="24"/>
          <w:u w:val="single"/>
          <w:lang w:val="pl"/>
        </w:rPr>
        <w:t>Uwaga:</w:t>
      </w:r>
      <w:r w:rsidRPr="00552C9E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 xml:space="preserve">Oznaczenia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statusu 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 xml:space="preserve">CR, R i C </w:t>
      </w:r>
      <w:r>
        <w:rPr>
          <w:rFonts w:eastAsia="Times New Roman" w:cstheme="minorHAnsi"/>
          <w:bCs/>
          <w:sz w:val="24"/>
          <w:szCs w:val="24"/>
          <w:lang w:val="pl"/>
        </w:rPr>
        <w:t>są stosowane</w:t>
      </w:r>
      <w:r w:rsidR="00834162">
        <w:rPr>
          <w:rFonts w:eastAsia="Times New Roman" w:cstheme="minorHAnsi"/>
          <w:bCs/>
          <w:sz w:val="24"/>
          <w:szCs w:val="24"/>
          <w:lang w:val="pl"/>
        </w:rPr>
        <w:t xml:space="preserve"> w nowym </w:t>
      </w:r>
      <w:bookmarkStart w:id="0" w:name="_Hlk186449976"/>
      <w:r w:rsidR="00637B69">
        <w:rPr>
          <w:rFonts w:eastAsia="Times New Roman" w:cstheme="minorHAnsi"/>
          <w:bCs/>
          <w:sz w:val="24"/>
          <w:szCs w:val="24"/>
          <w:lang w:val="pl"/>
        </w:rPr>
        <w:t>Z</w:t>
      </w:r>
      <w:r w:rsidR="00696AC5">
        <w:rPr>
          <w:rFonts w:eastAsia="Times New Roman" w:cstheme="minorHAnsi"/>
          <w:bCs/>
          <w:sz w:val="24"/>
          <w:szCs w:val="24"/>
          <w:lang w:val="pl"/>
        </w:rPr>
        <w:t xml:space="preserve">awiadomieniu </w:t>
      </w:r>
      <w:r w:rsidR="00696AC5" w:rsidRPr="00696AC5">
        <w:rPr>
          <w:rFonts w:eastAsia="Times New Roman" w:cstheme="minorHAnsi"/>
          <w:sz w:val="24"/>
          <w:szCs w:val="24"/>
          <w:lang w:val="pl-PL"/>
        </w:rPr>
        <w:t>Komisji dotycząc</w:t>
      </w:r>
      <w:r w:rsidR="00696AC5">
        <w:rPr>
          <w:rFonts w:eastAsia="Times New Roman" w:cstheme="minorHAnsi"/>
          <w:sz w:val="24"/>
          <w:szCs w:val="24"/>
          <w:lang w:val="pl-PL"/>
        </w:rPr>
        <w:t>ym</w:t>
      </w:r>
      <w:r w:rsidR="00696AC5" w:rsidRPr="00696AC5">
        <w:rPr>
          <w:rFonts w:eastAsia="Times New Roman" w:cstheme="minorHAnsi"/>
          <w:sz w:val="24"/>
          <w:szCs w:val="24"/>
          <w:lang w:val="pl-PL"/>
        </w:rPr>
        <w:t xml:space="preserve"> stosowania Regionalnej konwencji w sprawie pan</w:t>
      </w:r>
      <w:r w:rsidR="00696AC5">
        <w:rPr>
          <w:rFonts w:eastAsia="Times New Roman" w:cstheme="minorHAnsi"/>
          <w:sz w:val="24"/>
          <w:szCs w:val="24"/>
          <w:lang w:val="pl-PL"/>
        </w:rPr>
        <w:t>-</w:t>
      </w:r>
      <w:r w:rsidR="00696AC5" w:rsidRPr="00696AC5">
        <w:rPr>
          <w:rFonts w:eastAsia="Times New Roman" w:cstheme="minorHAnsi"/>
          <w:sz w:val="24"/>
          <w:szCs w:val="24"/>
          <w:lang w:val="pl-PL"/>
        </w:rPr>
        <w:t>euro</w:t>
      </w:r>
      <w:r w:rsidR="00696AC5">
        <w:rPr>
          <w:rFonts w:eastAsia="Times New Roman" w:cstheme="minorHAnsi"/>
          <w:sz w:val="24"/>
          <w:szCs w:val="24"/>
          <w:lang w:val="pl-PL"/>
        </w:rPr>
        <w:t>-</w:t>
      </w:r>
      <w:r w:rsidR="00696AC5" w:rsidRPr="00696AC5">
        <w:rPr>
          <w:rFonts w:eastAsia="Times New Roman" w:cstheme="minorHAnsi"/>
          <w:sz w:val="24"/>
          <w:szCs w:val="24"/>
          <w:lang w:val="pl-PL"/>
        </w:rPr>
        <w:t xml:space="preserve">śródziemnomorskich preferencyjnych reguł pochodzenia lub protokołów w sprawie reguł pochodzenia przewidujących kumulację diagonalną pomiędzy umawiającymi się stronami </w:t>
      </w:r>
      <w:r w:rsidR="00696AC5">
        <w:rPr>
          <w:rFonts w:eastAsia="Times New Roman" w:cstheme="minorHAnsi"/>
          <w:sz w:val="24"/>
          <w:szCs w:val="24"/>
          <w:lang w:val="pl-PL"/>
        </w:rPr>
        <w:t>tej K</w:t>
      </w:r>
      <w:r w:rsidR="00696AC5" w:rsidRPr="00696AC5">
        <w:rPr>
          <w:rFonts w:eastAsia="Times New Roman" w:cstheme="minorHAnsi"/>
          <w:sz w:val="24"/>
          <w:szCs w:val="24"/>
          <w:lang w:val="pl-PL"/>
        </w:rPr>
        <w:t>onwencji</w:t>
      </w:r>
      <w:bookmarkEnd w:id="0"/>
      <w:r w:rsidR="00696AC5">
        <w:rPr>
          <w:rFonts w:eastAsia="Times New Roman" w:cstheme="minorHAnsi"/>
          <w:sz w:val="24"/>
          <w:szCs w:val="24"/>
          <w:lang w:val="pl-PL"/>
        </w:rPr>
        <w:t>,</w:t>
      </w:r>
      <w:r w:rsidR="00696AC5" w:rsidRPr="00696AC5">
        <w:rPr>
          <w:rFonts w:eastAsia="Times New Roman" w:cstheme="minorHAnsi"/>
          <w:sz w:val="24"/>
          <w:szCs w:val="24"/>
          <w:lang w:val="pl-PL"/>
        </w:rPr>
        <w:t xml:space="preserve"> </w:t>
      </w:r>
      <w:r w:rsidR="00696AC5">
        <w:rPr>
          <w:rFonts w:eastAsia="Times New Roman" w:cstheme="minorHAnsi"/>
          <w:sz w:val="24"/>
          <w:szCs w:val="24"/>
          <w:lang w:val="pl-PL"/>
        </w:rPr>
        <w:t xml:space="preserve">tzw. </w:t>
      </w:r>
      <w:r w:rsidR="00834162" w:rsidRPr="00696AC5">
        <w:rPr>
          <w:rFonts w:eastAsia="Times New Roman" w:cstheme="minorHAnsi"/>
          <w:sz w:val="24"/>
          <w:szCs w:val="24"/>
          <w:lang w:val="pl"/>
        </w:rPr>
        <w:t>ma</w:t>
      </w:r>
      <w:r w:rsidR="00E74C9B" w:rsidRPr="00696AC5">
        <w:rPr>
          <w:rFonts w:eastAsia="Times New Roman" w:cstheme="minorHAnsi"/>
          <w:sz w:val="24"/>
          <w:szCs w:val="24"/>
          <w:lang w:val="pl"/>
        </w:rPr>
        <w:t>trix.</w:t>
      </w:r>
      <w:r w:rsidR="00637B69" w:rsidRPr="00637B69">
        <w:rPr>
          <w:lang w:val="pl-PL"/>
        </w:rPr>
        <w:t xml:space="preserve"> </w:t>
      </w:r>
      <w:r w:rsidR="00637B69">
        <w:rPr>
          <w:lang w:val="pl-PL"/>
        </w:rPr>
        <w:t>(</w:t>
      </w:r>
      <w:r w:rsidR="00637B69" w:rsidRPr="00637B69">
        <w:rPr>
          <w:rFonts w:eastAsia="Times New Roman" w:cstheme="minorHAnsi"/>
          <w:sz w:val="24"/>
          <w:szCs w:val="24"/>
          <w:lang w:val="pl-PL"/>
        </w:rPr>
        <w:t xml:space="preserve">Dz. Urz. </w:t>
      </w:r>
      <w:r w:rsidR="00B14DD7" w:rsidRPr="005F6C07">
        <w:rPr>
          <w:rFonts w:eastAsia="Times New Roman" w:cstheme="minorHAnsi"/>
          <w:sz w:val="24"/>
          <w:szCs w:val="24"/>
          <w:lang w:val="pl-PL"/>
        </w:rPr>
        <w:t xml:space="preserve">C 465 z 22.1.2025 r.) </w:t>
      </w:r>
      <w:hyperlink r:id="rId8" w:history="1">
        <w:r w:rsidR="00B14DD7" w:rsidRPr="005F6C07">
          <w:rPr>
            <w:rStyle w:val="Hipercze"/>
            <w:rFonts w:eastAsia="Times New Roman" w:cstheme="minorHAnsi"/>
            <w:sz w:val="24"/>
            <w:szCs w:val="24"/>
            <w:lang w:val="pl-PL"/>
          </w:rPr>
          <w:t>EUR-Lex - 52025XC00465 - PL - EUR-Lex</w:t>
        </w:r>
      </w:hyperlink>
    </w:p>
    <w:p w14:paraId="3CF4CAB5" w14:textId="77777777" w:rsidR="00E74C9B" w:rsidRPr="00BD1447" w:rsidRDefault="00E74C9B" w:rsidP="00CB3599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</w:p>
    <w:p w14:paraId="18303EA7" w14:textId="16DD56B7" w:rsidR="00E74C9B" w:rsidRPr="00FF1B8A" w:rsidRDefault="00E74C9B" w:rsidP="00CB3599">
      <w:pPr>
        <w:spacing w:before="120" w:after="0"/>
        <w:jc w:val="both"/>
        <w:rPr>
          <w:rFonts w:eastAsia="Times New Roman" w:cstheme="minorHAnsi"/>
          <w:b/>
          <w:bCs/>
          <w:color w:val="FF0000"/>
          <w:sz w:val="28"/>
          <w:szCs w:val="28"/>
          <w:lang w:val="pl"/>
        </w:rPr>
      </w:pPr>
      <w:r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3. P</w:t>
      </w:r>
      <w:r w:rsidR="009B22B5"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RZEPISY</w:t>
      </w:r>
      <w:r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</w:t>
      </w:r>
      <w:r w:rsidR="009B22B5"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PRZEJŚCIOWE</w:t>
      </w:r>
      <w:r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</w:t>
      </w:r>
      <w:r w:rsidR="009B22B5"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WPROWADZONE</w:t>
      </w:r>
      <w:r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D</w:t>
      </w:r>
      <w:r w:rsidR="009B22B5"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ECYZJĄ</w:t>
      </w:r>
      <w:r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nr </w:t>
      </w:r>
      <w:r w:rsidR="000A6BC0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2</w:t>
      </w:r>
      <w:r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/2024</w:t>
      </w:r>
    </w:p>
    <w:p w14:paraId="0DE05102" w14:textId="0C476E81" w:rsidR="00E74C9B" w:rsidRDefault="00E74C9B" w:rsidP="00CB3599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sz w:val="24"/>
          <w:szCs w:val="24"/>
          <w:lang w:val="pl"/>
        </w:rPr>
        <w:t xml:space="preserve">Przepisy przejściowe </w:t>
      </w:r>
      <w:r w:rsidR="000A6BC0">
        <w:rPr>
          <w:rFonts w:eastAsia="Times New Roman" w:cstheme="minorHAnsi"/>
          <w:sz w:val="24"/>
          <w:szCs w:val="24"/>
          <w:lang w:val="pl"/>
        </w:rPr>
        <w:t xml:space="preserve">w Dodatku I do Konwencji </w:t>
      </w:r>
      <w:r w:rsidR="00552C9E">
        <w:rPr>
          <w:rFonts w:eastAsia="Times New Roman" w:cstheme="minorHAnsi"/>
          <w:sz w:val="24"/>
          <w:szCs w:val="24"/>
          <w:lang w:val="pl"/>
        </w:rPr>
        <w:t xml:space="preserve">PEM </w:t>
      </w:r>
      <w:r w:rsidR="000A6BC0">
        <w:rPr>
          <w:rFonts w:eastAsia="Times New Roman" w:cstheme="minorHAnsi"/>
          <w:sz w:val="24"/>
          <w:szCs w:val="24"/>
          <w:lang w:val="pl"/>
        </w:rPr>
        <w:t>wprowadzone Decyzją 2/2024 z</w:t>
      </w:r>
      <w:r w:rsidR="00552C9E">
        <w:rPr>
          <w:rFonts w:eastAsia="Times New Roman" w:cstheme="minorHAnsi"/>
          <w:sz w:val="24"/>
          <w:szCs w:val="24"/>
          <w:lang w:val="pl"/>
        </w:rPr>
        <w:t> </w:t>
      </w:r>
      <w:r w:rsidR="000A6BC0">
        <w:rPr>
          <w:rFonts w:eastAsia="Times New Roman" w:cstheme="minorHAnsi"/>
          <w:sz w:val="24"/>
          <w:szCs w:val="24"/>
          <w:lang w:val="pl"/>
        </w:rPr>
        <w:t>12.12.2024 r. (</w:t>
      </w:r>
      <w:r w:rsidR="00B249E8">
        <w:rPr>
          <w:rFonts w:eastAsia="Times New Roman" w:cstheme="minorHAnsi"/>
          <w:sz w:val="24"/>
          <w:szCs w:val="24"/>
          <w:lang w:val="pl"/>
        </w:rPr>
        <w:t xml:space="preserve">Dz. Urz.UE L 17 </w:t>
      </w:r>
      <w:r w:rsidR="005F6C07">
        <w:rPr>
          <w:rFonts w:eastAsia="Times New Roman" w:cstheme="minorHAnsi"/>
          <w:sz w:val="24"/>
          <w:szCs w:val="24"/>
          <w:lang w:val="pl"/>
        </w:rPr>
        <w:t>z</w:t>
      </w:r>
      <w:r w:rsidR="00B249E8">
        <w:rPr>
          <w:rFonts w:eastAsia="Times New Roman" w:cstheme="minorHAnsi"/>
          <w:sz w:val="24"/>
          <w:szCs w:val="24"/>
          <w:lang w:val="pl"/>
        </w:rPr>
        <w:t xml:space="preserve"> 9.1.2025 r. )</w:t>
      </w:r>
      <w:r w:rsidR="005F6C07">
        <w:rPr>
          <w:rFonts w:eastAsia="Times New Roman" w:cstheme="minorHAnsi"/>
          <w:sz w:val="24"/>
          <w:szCs w:val="24"/>
          <w:lang w:val="pl"/>
        </w:rPr>
        <w:t xml:space="preserve"> 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będą miały zastosowanie do </w:t>
      </w:r>
      <w:r w:rsidR="00FF1B8A">
        <w:rPr>
          <w:rFonts w:eastAsia="Times New Roman" w:cstheme="minorHAnsi"/>
          <w:sz w:val="24"/>
          <w:szCs w:val="24"/>
          <w:lang w:val="pl"/>
        </w:rPr>
        <w:t xml:space="preserve">tych </w:t>
      </w:r>
      <w:proofErr w:type="spellStart"/>
      <w:r w:rsidRPr="00E74C9B">
        <w:rPr>
          <w:rFonts w:eastAsia="Times New Roman" w:cstheme="minorHAnsi"/>
          <w:sz w:val="24"/>
          <w:szCs w:val="24"/>
          <w:lang w:val="pl"/>
        </w:rPr>
        <w:t>CP</w:t>
      </w:r>
      <w:r w:rsidR="00AA7268">
        <w:rPr>
          <w:rFonts w:eastAsia="Times New Roman" w:cstheme="minorHAnsi"/>
          <w:sz w:val="24"/>
          <w:szCs w:val="24"/>
          <w:lang w:val="pl"/>
        </w:rPr>
        <w:t>s</w:t>
      </w:r>
      <w:proofErr w:type="spellEnd"/>
      <w:r w:rsidRPr="00E74C9B">
        <w:rPr>
          <w:rFonts w:eastAsia="Times New Roman" w:cstheme="minorHAnsi"/>
          <w:sz w:val="24"/>
          <w:szCs w:val="24"/>
          <w:lang w:val="pl"/>
        </w:rPr>
        <w:t xml:space="preserve">, które stosują </w:t>
      </w:r>
      <w:r>
        <w:rPr>
          <w:rFonts w:eastAsia="Times New Roman" w:cstheme="minorHAnsi"/>
          <w:sz w:val="24"/>
          <w:szCs w:val="24"/>
          <w:lang w:val="pl"/>
        </w:rPr>
        <w:t xml:space="preserve">reguły 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z 2023 r. </w:t>
      </w:r>
      <w:r w:rsidR="00552C9E">
        <w:rPr>
          <w:rFonts w:eastAsia="Times New Roman" w:cstheme="minorHAnsi"/>
          <w:sz w:val="24"/>
          <w:szCs w:val="24"/>
          <w:lang w:val="pl"/>
        </w:rPr>
        <w:t>i</w:t>
      </w:r>
      <w:r w:rsidR="00AA7268">
        <w:rPr>
          <w:rFonts w:eastAsia="Times New Roman" w:cstheme="minorHAnsi"/>
          <w:sz w:val="24"/>
          <w:szCs w:val="24"/>
          <w:lang w:val="pl"/>
        </w:rPr>
        <w:t> 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ratyfikowały </w:t>
      </w:r>
      <w:r>
        <w:rPr>
          <w:rFonts w:eastAsia="Times New Roman" w:cstheme="minorHAnsi"/>
          <w:sz w:val="24"/>
          <w:szCs w:val="24"/>
          <w:lang w:val="pl"/>
        </w:rPr>
        <w:t>D</w:t>
      </w:r>
      <w:r w:rsidRPr="00E74C9B">
        <w:rPr>
          <w:rFonts w:eastAsia="Times New Roman" w:cstheme="minorHAnsi"/>
          <w:sz w:val="24"/>
          <w:szCs w:val="24"/>
          <w:lang w:val="pl"/>
        </w:rPr>
        <w:t>ecyzję nr 1/202</w:t>
      </w:r>
      <w:r w:rsidR="00BB1577">
        <w:rPr>
          <w:rFonts w:eastAsia="Times New Roman" w:cstheme="minorHAnsi"/>
          <w:sz w:val="24"/>
          <w:szCs w:val="24"/>
          <w:lang w:val="pl"/>
        </w:rPr>
        <w:t>3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Wspólnego Komitetu. Przepisy te zminimalizują zakłócenia </w:t>
      </w:r>
      <w:r w:rsidR="00AA7268">
        <w:rPr>
          <w:rFonts w:eastAsia="Times New Roman" w:cstheme="minorHAnsi"/>
          <w:sz w:val="24"/>
          <w:szCs w:val="24"/>
          <w:lang w:val="pl"/>
        </w:rPr>
        <w:t>w 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kumulacji między </w:t>
      </w:r>
      <w:r w:rsidR="00AA7268">
        <w:rPr>
          <w:rFonts w:eastAsia="Times New Roman" w:cstheme="minorHAnsi"/>
          <w:sz w:val="24"/>
          <w:szCs w:val="24"/>
          <w:lang w:val="pl"/>
        </w:rPr>
        <w:t xml:space="preserve">tymi </w:t>
      </w:r>
      <w:proofErr w:type="spellStart"/>
      <w:r w:rsidRPr="00E74C9B">
        <w:rPr>
          <w:rFonts w:eastAsia="Times New Roman" w:cstheme="minorHAnsi"/>
          <w:sz w:val="24"/>
          <w:szCs w:val="24"/>
          <w:lang w:val="pl"/>
        </w:rPr>
        <w:t>CP</w:t>
      </w:r>
      <w:r w:rsidR="00AA7268">
        <w:rPr>
          <w:rFonts w:eastAsia="Times New Roman" w:cstheme="minorHAnsi"/>
          <w:sz w:val="24"/>
          <w:szCs w:val="24"/>
          <w:lang w:val="pl"/>
        </w:rPr>
        <w:t>s</w:t>
      </w:r>
      <w:proofErr w:type="spellEnd"/>
      <w:r w:rsidRPr="00E74C9B">
        <w:rPr>
          <w:rFonts w:eastAsia="Times New Roman" w:cstheme="minorHAnsi"/>
          <w:sz w:val="24"/>
          <w:szCs w:val="24"/>
          <w:lang w:val="pl"/>
        </w:rPr>
        <w:t xml:space="preserve"> </w:t>
      </w:r>
      <w:r w:rsidR="00AA7268">
        <w:rPr>
          <w:rFonts w:eastAsia="Times New Roman" w:cstheme="minorHAnsi"/>
          <w:sz w:val="24"/>
          <w:szCs w:val="24"/>
          <w:lang w:val="pl"/>
        </w:rPr>
        <w:t>i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</w:t>
      </w:r>
      <w:r w:rsidR="00AA7268">
        <w:rPr>
          <w:rFonts w:eastAsia="Times New Roman" w:cstheme="minorHAnsi"/>
          <w:sz w:val="24"/>
          <w:szCs w:val="24"/>
          <w:lang w:val="pl"/>
        </w:rPr>
        <w:t>tymi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które nie dostosowały jeszcze swoich protokołów dwustronnych.</w:t>
      </w:r>
    </w:p>
    <w:p w14:paraId="2ABDE20C" w14:textId="06B8D531" w:rsidR="00807122" w:rsidRDefault="001600AB" w:rsidP="00CB3599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1600AB">
        <w:rPr>
          <w:rFonts w:eastAsia="Times New Roman" w:cstheme="minorHAnsi"/>
          <w:b/>
          <w:bCs/>
          <w:sz w:val="24"/>
          <w:szCs w:val="24"/>
          <w:lang w:val="pl"/>
        </w:rPr>
        <w:t>Art.42 ust. 1</w:t>
      </w:r>
      <w:r w:rsidRPr="001600AB">
        <w:rPr>
          <w:rFonts w:eastAsia="Times New Roman" w:cstheme="minorHAnsi"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sz w:val="24"/>
          <w:szCs w:val="24"/>
          <w:lang w:val="pl"/>
        </w:rPr>
        <w:t xml:space="preserve">stanowi - </w:t>
      </w:r>
      <w:r w:rsidRPr="001600AB">
        <w:rPr>
          <w:rFonts w:eastAsia="Times New Roman" w:cstheme="minorHAnsi"/>
          <w:i/>
          <w:iCs/>
          <w:sz w:val="24"/>
          <w:szCs w:val="24"/>
          <w:lang w:val="pl"/>
        </w:rPr>
        <w:t>Dodatek I do Konwencji opublikowany w Dz.</w:t>
      </w:r>
      <w:r w:rsidR="00A73F72">
        <w:rPr>
          <w:rFonts w:eastAsia="Times New Roman" w:cstheme="minorHAnsi"/>
          <w:i/>
          <w:iCs/>
          <w:sz w:val="24"/>
          <w:szCs w:val="24"/>
          <w:lang w:val="pl"/>
        </w:rPr>
        <w:t xml:space="preserve"> </w:t>
      </w:r>
      <w:r w:rsidRPr="001600AB">
        <w:rPr>
          <w:rFonts w:eastAsia="Times New Roman" w:cstheme="minorHAnsi"/>
          <w:i/>
          <w:iCs/>
          <w:sz w:val="24"/>
          <w:szCs w:val="24"/>
          <w:lang w:val="pl"/>
        </w:rPr>
        <w:t>U</w:t>
      </w:r>
      <w:r w:rsidR="00A73F72">
        <w:rPr>
          <w:rFonts w:eastAsia="Times New Roman" w:cstheme="minorHAnsi"/>
          <w:i/>
          <w:iCs/>
          <w:sz w:val="24"/>
          <w:szCs w:val="24"/>
          <w:lang w:val="pl"/>
        </w:rPr>
        <w:t>rz</w:t>
      </w:r>
      <w:r w:rsidRPr="001600AB">
        <w:rPr>
          <w:rFonts w:eastAsia="Times New Roman" w:cstheme="minorHAnsi"/>
          <w:i/>
          <w:iCs/>
          <w:sz w:val="24"/>
          <w:szCs w:val="24"/>
          <w:lang w:val="pl"/>
        </w:rPr>
        <w:t xml:space="preserve">. L 54 z 26.2.2013 ma zastosowanie między Umawiającymi się Stronami Konwencji do dnia 31 grudnia 2025 r. równolegle z niniejszym </w:t>
      </w:r>
      <w:r w:rsidR="00A73F72">
        <w:rPr>
          <w:rFonts w:eastAsia="Times New Roman" w:cstheme="minorHAnsi"/>
          <w:i/>
          <w:iCs/>
          <w:sz w:val="24"/>
          <w:szCs w:val="24"/>
          <w:lang w:val="pl"/>
        </w:rPr>
        <w:t>D</w:t>
      </w:r>
      <w:r w:rsidRPr="001600AB">
        <w:rPr>
          <w:rFonts w:eastAsia="Times New Roman" w:cstheme="minorHAnsi"/>
          <w:i/>
          <w:iCs/>
          <w:sz w:val="24"/>
          <w:szCs w:val="24"/>
          <w:lang w:val="pl"/>
        </w:rPr>
        <w:t>odatkiem.</w:t>
      </w:r>
    </w:p>
    <w:p w14:paraId="4E3CE218" w14:textId="07085A92" w:rsidR="00E74C9B" w:rsidRPr="00E74C9B" w:rsidRDefault="00807122" w:rsidP="00CB3599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>
        <w:rPr>
          <w:rFonts w:eastAsia="Times New Roman" w:cstheme="minorHAnsi"/>
          <w:sz w:val="24"/>
          <w:szCs w:val="24"/>
          <w:lang w:val="pl"/>
        </w:rPr>
        <w:t>Przepis ten</w:t>
      </w:r>
      <w:r w:rsidR="00E74C9B" w:rsidRPr="00E74C9B">
        <w:rPr>
          <w:rFonts w:eastAsia="Times New Roman" w:cstheme="minorHAnsi"/>
          <w:sz w:val="24"/>
          <w:szCs w:val="24"/>
          <w:lang w:val="pl"/>
        </w:rPr>
        <w:t xml:space="preserve"> zapewnia dalsze stosowanie </w:t>
      </w:r>
      <w:r>
        <w:rPr>
          <w:rFonts w:eastAsia="Times New Roman" w:cstheme="minorHAnsi"/>
          <w:sz w:val="24"/>
          <w:szCs w:val="24"/>
          <w:lang w:val="pl"/>
        </w:rPr>
        <w:t xml:space="preserve">reguł </w:t>
      </w:r>
      <w:r w:rsidR="00E74C9B" w:rsidRPr="00E74C9B">
        <w:rPr>
          <w:rFonts w:eastAsia="Times New Roman" w:cstheme="minorHAnsi"/>
          <w:sz w:val="24"/>
          <w:szCs w:val="24"/>
          <w:lang w:val="pl"/>
        </w:rPr>
        <w:t>z 2012 r. przez jeden dodatkowy rok</w:t>
      </w:r>
      <w:r>
        <w:rPr>
          <w:rFonts w:eastAsia="Times New Roman" w:cstheme="minorHAnsi"/>
          <w:sz w:val="24"/>
          <w:szCs w:val="24"/>
          <w:lang w:val="pl"/>
        </w:rPr>
        <w:t>,</w:t>
      </w:r>
      <w:r w:rsidR="00E74C9B" w:rsidRPr="00E74C9B">
        <w:rPr>
          <w:rFonts w:eastAsia="Times New Roman" w:cstheme="minorHAnsi"/>
          <w:sz w:val="24"/>
          <w:szCs w:val="24"/>
          <w:lang w:val="pl"/>
        </w:rPr>
        <w:t xml:space="preserve"> równolegle z </w:t>
      </w:r>
      <w:r>
        <w:rPr>
          <w:rFonts w:eastAsia="Times New Roman" w:cstheme="minorHAnsi"/>
          <w:sz w:val="24"/>
          <w:szCs w:val="24"/>
          <w:lang w:val="pl"/>
        </w:rPr>
        <w:t xml:space="preserve">regułami </w:t>
      </w:r>
      <w:r w:rsidR="00E74C9B" w:rsidRPr="00E74C9B">
        <w:rPr>
          <w:rFonts w:eastAsia="Times New Roman" w:cstheme="minorHAnsi"/>
          <w:sz w:val="24"/>
          <w:szCs w:val="24"/>
          <w:lang w:val="pl"/>
        </w:rPr>
        <w:t>z 2023 r., które w</w:t>
      </w:r>
      <w:r w:rsidR="00A73F72">
        <w:rPr>
          <w:rFonts w:eastAsia="Times New Roman" w:cstheme="minorHAnsi"/>
          <w:sz w:val="24"/>
          <w:szCs w:val="24"/>
          <w:lang w:val="pl"/>
        </w:rPr>
        <w:t>chodzą</w:t>
      </w:r>
      <w:r w:rsidR="00E74C9B" w:rsidRPr="00E74C9B">
        <w:rPr>
          <w:rFonts w:eastAsia="Times New Roman" w:cstheme="minorHAnsi"/>
          <w:sz w:val="24"/>
          <w:szCs w:val="24"/>
          <w:lang w:val="pl"/>
        </w:rPr>
        <w:t xml:space="preserve"> w życie w dniu 1 stycznia 2025 r.</w:t>
      </w:r>
    </w:p>
    <w:p w14:paraId="10BA99AC" w14:textId="41046FCA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sz w:val="24"/>
          <w:szCs w:val="24"/>
          <w:lang w:val="pl"/>
        </w:rPr>
        <w:lastRenderedPageBreak/>
        <w:t xml:space="preserve">Przepis ten oznacza, że dwa zbiory </w:t>
      </w:r>
      <w:r w:rsidR="00807122">
        <w:rPr>
          <w:rFonts w:eastAsia="Times New Roman" w:cstheme="minorHAnsi"/>
          <w:sz w:val="24"/>
          <w:szCs w:val="24"/>
          <w:lang w:val="pl"/>
        </w:rPr>
        <w:t>reguł,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które utworzą dwie odrębne strefy kumulacji, będą </w:t>
      </w:r>
      <w:r w:rsidR="00807122">
        <w:rPr>
          <w:rFonts w:eastAsia="Times New Roman" w:cstheme="minorHAnsi"/>
          <w:sz w:val="24"/>
          <w:szCs w:val="24"/>
          <w:lang w:val="pl"/>
        </w:rPr>
        <w:t xml:space="preserve">stosowane </w:t>
      </w:r>
      <w:r w:rsidRPr="00E74C9B">
        <w:rPr>
          <w:rFonts w:eastAsia="Times New Roman" w:cstheme="minorHAnsi"/>
          <w:sz w:val="24"/>
          <w:szCs w:val="24"/>
          <w:lang w:val="pl"/>
        </w:rPr>
        <w:t>od dnia 1 stycznia 2025 r. do dnia 31 grudnia 2025 r.</w:t>
      </w:r>
    </w:p>
    <w:p w14:paraId="61A624FD" w14:textId="77777777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>Przykład:</w:t>
      </w:r>
    </w:p>
    <w:p w14:paraId="3DE5DF05" w14:textId="3ED8987B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Strona A i strona B stosują między sobą oba zestawy </w:t>
      </w:r>
      <w:r w:rsidR="009E3071">
        <w:rPr>
          <w:rFonts w:eastAsia="Times New Roman" w:cstheme="minorHAnsi"/>
          <w:i/>
          <w:sz w:val="24"/>
          <w:szCs w:val="24"/>
          <w:lang w:val="pl"/>
        </w:rPr>
        <w:t>reguł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 – status CR</w:t>
      </w:r>
    </w:p>
    <w:p w14:paraId="36A985E1" w14:textId="6E67DE35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Strona D stosuje jedynie </w:t>
      </w:r>
      <w:r w:rsidR="009E3071">
        <w:rPr>
          <w:rFonts w:eastAsia="Times New Roman" w:cstheme="minorHAnsi"/>
          <w:i/>
          <w:sz w:val="24"/>
          <w:szCs w:val="24"/>
          <w:lang w:val="pl"/>
        </w:rPr>
        <w:t xml:space="preserve">reguły 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z 2023 r. </w:t>
      </w:r>
      <w:r w:rsidR="009E3071">
        <w:rPr>
          <w:rFonts w:eastAsia="Times New Roman" w:cstheme="minorHAnsi"/>
          <w:i/>
          <w:sz w:val="24"/>
          <w:szCs w:val="24"/>
          <w:lang w:val="pl"/>
        </w:rPr>
        <w:t>z A i B- status R</w:t>
      </w:r>
    </w:p>
    <w:p w14:paraId="2081D205" w14:textId="21C4858D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Strona E stosuje jedynie </w:t>
      </w:r>
      <w:r w:rsidR="009E3071">
        <w:rPr>
          <w:rFonts w:eastAsia="Times New Roman" w:cstheme="minorHAnsi"/>
          <w:i/>
          <w:sz w:val="24"/>
          <w:szCs w:val="24"/>
          <w:lang w:val="pl"/>
        </w:rPr>
        <w:t>reguły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 z 2012 r. </w:t>
      </w:r>
      <w:r w:rsidR="009E3071">
        <w:rPr>
          <w:rFonts w:eastAsia="Times New Roman" w:cstheme="minorHAnsi"/>
          <w:i/>
          <w:sz w:val="24"/>
          <w:szCs w:val="24"/>
          <w:lang w:val="pl"/>
        </w:rPr>
        <w:t>z A i B – status C</w:t>
      </w:r>
    </w:p>
    <w:p w14:paraId="2F62D605" w14:textId="528EFCDE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Kumulacja </w:t>
      </w:r>
      <w:r w:rsidR="009E3071">
        <w:rPr>
          <w:rFonts w:eastAsia="Times New Roman" w:cstheme="minorHAnsi"/>
          <w:i/>
          <w:sz w:val="24"/>
          <w:szCs w:val="24"/>
          <w:lang w:val="pl"/>
        </w:rPr>
        <w:t>diagonalna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 jest możliwa między A, B i D na podstawie </w:t>
      </w:r>
      <w:r w:rsidR="009E3071">
        <w:rPr>
          <w:rFonts w:eastAsia="Times New Roman" w:cstheme="minorHAnsi"/>
          <w:i/>
          <w:sz w:val="24"/>
          <w:szCs w:val="24"/>
          <w:lang w:val="pl"/>
        </w:rPr>
        <w:t xml:space="preserve">reguł 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>z 2023 r.</w:t>
      </w:r>
    </w:p>
    <w:p w14:paraId="7DB94D3D" w14:textId="3BBAF707" w:rsidR="00E74C9B" w:rsidRDefault="00E74C9B" w:rsidP="00CB3599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Kumulacja </w:t>
      </w:r>
      <w:r w:rsidR="009E3071">
        <w:rPr>
          <w:rFonts w:eastAsia="Times New Roman" w:cstheme="minorHAnsi"/>
          <w:i/>
          <w:sz w:val="24"/>
          <w:szCs w:val="24"/>
          <w:lang w:val="pl"/>
        </w:rPr>
        <w:t xml:space="preserve">diagonalna 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jest możliwa między A, B i E na podstawie </w:t>
      </w:r>
      <w:r w:rsidR="009E3071">
        <w:rPr>
          <w:rFonts w:eastAsia="Times New Roman" w:cstheme="minorHAnsi"/>
          <w:i/>
          <w:sz w:val="24"/>
          <w:szCs w:val="24"/>
          <w:lang w:val="pl"/>
        </w:rPr>
        <w:t>reguł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 z 2012 r.</w:t>
      </w:r>
    </w:p>
    <w:p w14:paraId="5035C896" w14:textId="77777777" w:rsidR="009E3071" w:rsidRPr="00E74C9B" w:rsidRDefault="009E3071" w:rsidP="00CB3599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</w:p>
    <w:p w14:paraId="302DE90E" w14:textId="040A4AAE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b/>
          <w:bCs/>
          <w:sz w:val="24"/>
          <w:szCs w:val="24"/>
          <w:lang w:val="pl"/>
        </w:rPr>
        <w:t>Artykuł 42 ust. 2</w:t>
      </w:r>
      <w:r w:rsidR="009E3071">
        <w:rPr>
          <w:rFonts w:eastAsia="Times New Roman" w:cstheme="minorHAnsi"/>
          <w:sz w:val="24"/>
          <w:szCs w:val="24"/>
          <w:lang w:val="pl"/>
        </w:rPr>
        <w:t xml:space="preserve"> stanowi - 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Dowody pochodzenia wystawione </w:t>
      </w:r>
      <w:bookmarkStart w:id="1" w:name="_Hlk175247147"/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lub sporządzone </w:t>
      </w:r>
      <w:bookmarkEnd w:id="1"/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>przed dniem 1</w:t>
      </w:r>
      <w:r w:rsidR="00A73F72">
        <w:rPr>
          <w:rFonts w:eastAsia="Times New Roman" w:cstheme="minorHAnsi"/>
          <w:i/>
          <w:iCs/>
          <w:sz w:val="24"/>
          <w:szCs w:val="24"/>
          <w:lang w:val="pl"/>
        </w:rPr>
        <w:t> 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stycznia 2025 r. zgodnie z regułami fakultatywnego stosowania </w:t>
      </w:r>
      <w:r w:rsidR="00A73F72">
        <w:rPr>
          <w:rFonts w:eastAsia="Times New Roman" w:cstheme="minorHAnsi"/>
          <w:i/>
          <w:iCs/>
          <w:sz w:val="24"/>
          <w:szCs w:val="24"/>
          <w:lang w:val="pl"/>
        </w:rPr>
        <w:t>K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onwencji do czasu zawarcia i wejścia w życie zmiany </w:t>
      </w:r>
      <w:r w:rsidR="00367CE1">
        <w:rPr>
          <w:rFonts w:eastAsia="Times New Roman" w:cstheme="minorHAnsi"/>
          <w:i/>
          <w:iCs/>
          <w:sz w:val="24"/>
          <w:szCs w:val="24"/>
          <w:lang w:val="pl"/>
        </w:rPr>
        <w:t>K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>onwencji (</w:t>
      </w:r>
      <w:r w:rsidR="00F40F64">
        <w:rPr>
          <w:rFonts w:eastAsia="Times New Roman" w:cstheme="minorHAnsi"/>
          <w:i/>
          <w:iCs/>
          <w:sz w:val="24"/>
          <w:szCs w:val="24"/>
          <w:lang w:val="pl"/>
        </w:rPr>
        <w:t>„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>przejściowe reguły pochodzenia</w:t>
      </w:r>
      <w:r w:rsidR="00F40F64">
        <w:rPr>
          <w:rFonts w:eastAsia="Times New Roman" w:cstheme="minorHAnsi"/>
          <w:i/>
          <w:iCs/>
          <w:sz w:val="24"/>
          <w:szCs w:val="24"/>
          <w:lang w:val="pl"/>
        </w:rPr>
        <w:t>”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) i przedłożone po tej dacie, w okresie ich ważności, są akceptowane </w:t>
      </w:r>
      <w:r w:rsidR="00F40F64">
        <w:rPr>
          <w:rFonts w:eastAsia="Times New Roman" w:cstheme="minorHAnsi"/>
          <w:i/>
          <w:iCs/>
          <w:sz w:val="24"/>
          <w:szCs w:val="24"/>
          <w:lang w:val="pl"/>
        </w:rPr>
        <w:t>w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 </w:t>
      </w:r>
      <w:r w:rsidR="009E3071" w:rsidRPr="009F7B4E">
        <w:rPr>
          <w:rFonts w:eastAsia="Times New Roman" w:cstheme="minorHAnsi"/>
          <w:i/>
          <w:iCs/>
          <w:sz w:val="24"/>
          <w:szCs w:val="24"/>
          <w:lang w:val="pl"/>
        </w:rPr>
        <w:t>cel</w:t>
      </w:r>
      <w:r w:rsidR="00F40F64">
        <w:rPr>
          <w:rFonts w:eastAsia="Times New Roman" w:cstheme="minorHAnsi"/>
          <w:i/>
          <w:iCs/>
          <w:sz w:val="24"/>
          <w:szCs w:val="24"/>
          <w:lang w:val="pl"/>
        </w:rPr>
        <w:t>u</w:t>
      </w:r>
      <w:r w:rsidR="009E3071" w:rsidRPr="009F7B4E">
        <w:rPr>
          <w:rFonts w:eastAsia="Times New Roman" w:cstheme="minorHAnsi"/>
          <w:i/>
          <w:iCs/>
          <w:sz w:val="24"/>
          <w:szCs w:val="24"/>
          <w:lang w:val="pl"/>
        </w:rPr>
        <w:t xml:space="preserve"> 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>preferencyjnego traktowania przy przywozie w odniesieniu do towarów, które w dniu 1 stycznia 2025 r. znajdują się w tranzycie lub są objęte procedurą specjalną pod kontrolą celną. Towary te mogą być wykorzystywane do kumulacji przewidzianej w art. 7</w:t>
      </w:r>
      <w:r w:rsidRPr="00E74C9B">
        <w:rPr>
          <w:rFonts w:eastAsia="Times New Roman" w:cstheme="minorHAnsi"/>
          <w:sz w:val="24"/>
          <w:szCs w:val="24"/>
          <w:lang w:val="pl"/>
        </w:rPr>
        <w:t>.</w:t>
      </w:r>
    </w:p>
    <w:p w14:paraId="34DAF075" w14:textId="2A057053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sz w:val="24"/>
          <w:szCs w:val="24"/>
          <w:lang w:val="pl"/>
        </w:rPr>
        <w:t xml:space="preserve">Przepis ten zapewnia, </w:t>
      </w:r>
      <w:r w:rsidR="00367CE1">
        <w:rPr>
          <w:rFonts w:eastAsia="Times New Roman" w:cstheme="minorHAnsi"/>
          <w:sz w:val="24"/>
          <w:szCs w:val="24"/>
          <w:lang w:val="pl"/>
        </w:rPr>
        <w:t>że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towary w tranzycie lub składowane, z ważnym dowodem pochodzenia wystawionym lub sporządzonym zgodnie z przejściowymi regułami pochodzenia, nie </w:t>
      </w:r>
      <w:r w:rsidR="00367CE1">
        <w:rPr>
          <w:rFonts w:eastAsia="Times New Roman" w:cstheme="minorHAnsi"/>
          <w:sz w:val="24"/>
          <w:szCs w:val="24"/>
          <w:lang w:val="pl"/>
        </w:rPr>
        <w:t>tracą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statusu pochodzenia i </w:t>
      </w:r>
      <w:r w:rsidR="00367CE1">
        <w:rPr>
          <w:rFonts w:eastAsia="Times New Roman" w:cstheme="minorHAnsi"/>
          <w:sz w:val="24"/>
          <w:szCs w:val="24"/>
          <w:lang w:val="pl"/>
        </w:rPr>
        <w:t xml:space="preserve">prawa do </w:t>
      </w:r>
      <w:r w:rsidRPr="00E74C9B">
        <w:rPr>
          <w:rFonts w:eastAsia="Times New Roman" w:cstheme="minorHAnsi"/>
          <w:sz w:val="24"/>
          <w:szCs w:val="24"/>
          <w:lang w:val="pl"/>
        </w:rPr>
        <w:t>preferencyjnego traktowania po dotarciu do miejsca przeznaczenia, po dniu 1 stycznia 2025 r.</w:t>
      </w:r>
    </w:p>
    <w:p w14:paraId="4E4777D1" w14:textId="7A049C59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sz w:val="24"/>
          <w:szCs w:val="24"/>
          <w:lang w:val="pl"/>
        </w:rPr>
        <w:t>Towary objęte dowodami pochodzenia wystawionymi lub sporządzonymi zgodnie z</w:t>
      </w:r>
      <w:r w:rsidR="00BB1577">
        <w:rPr>
          <w:rFonts w:eastAsia="Times New Roman" w:cstheme="minorHAnsi"/>
          <w:sz w:val="24"/>
          <w:szCs w:val="24"/>
          <w:lang w:val="pl"/>
        </w:rPr>
        <w:t> </w:t>
      </w:r>
      <w:r w:rsidRPr="00E74C9B">
        <w:rPr>
          <w:rFonts w:eastAsia="Times New Roman" w:cstheme="minorHAnsi"/>
          <w:sz w:val="24"/>
          <w:szCs w:val="24"/>
          <w:lang w:val="pl"/>
        </w:rPr>
        <w:t>przejściowymi regułami pochodzenia w 2024 r. mogą być wykorzystywane do celów kumulacji zgodnie z regułami z 2023 r.</w:t>
      </w:r>
    </w:p>
    <w:p w14:paraId="26CC796C" w14:textId="77777777" w:rsidR="00E74C9B" w:rsidRPr="00E74C9B" w:rsidRDefault="00E74C9B" w:rsidP="00CB3599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>Przykłady dowodów pochodzenia wystawionych lub sporządzonych zgodnie z przejściowymi regułami pochodzenia:</w:t>
      </w:r>
    </w:p>
    <w:p w14:paraId="1CD64C63" w14:textId="49551A43" w:rsidR="00BA5CFE" w:rsidRDefault="00BA5CFE" w:rsidP="00BD1447">
      <w:pPr>
        <w:jc w:val="both"/>
        <w:rPr>
          <w:rFonts w:eastAsia="Times New Roman" w:cstheme="minorHAnsi"/>
          <w:b/>
          <w:bCs/>
          <w:sz w:val="24"/>
          <w:szCs w:val="24"/>
          <w:u w:val="single"/>
          <w:lang w:val="pl"/>
        </w:rPr>
      </w:pPr>
    </w:p>
    <w:p w14:paraId="60DD57D3" w14:textId="08A1F966" w:rsidR="00552C9E" w:rsidRDefault="00552C9E" w:rsidP="00BD1447">
      <w:pPr>
        <w:jc w:val="both"/>
        <w:rPr>
          <w:rFonts w:eastAsia="Times New Roman" w:cstheme="minorHAnsi"/>
          <w:b/>
          <w:bCs/>
          <w:sz w:val="24"/>
          <w:szCs w:val="24"/>
          <w:u w:val="single"/>
          <w:lang w:val="pl"/>
        </w:rPr>
      </w:pPr>
      <w:r w:rsidRPr="00552C9E">
        <w:rPr>
          <w:rFonts w:ascii="Calibri" w:eastAsia="Times New Roman" w:hAnsi="Calibri" w:cs="Times New Roman"/>
          <w:noProof/>
          <w:lang w:val="pl-PL" w:eastAsia="pl-PL"/>
        </w:rPr>
        <w:drawing>
          <wp:inline distT="0" distB="0" distL="0" distR="0" wp14:anchorId="48E971C1" wp14:editId="43C3DEFE">
            <wp:extent cx="5759450" cy="1348740"/>
            <wp:effectExtent l="0" t="0" r="0" b="3810"/>
            <wp:docPr id="836828361" name="Bilde 1" descr="Et bilde som inneholder tekst, Font, lin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28361" name="Bilde 1" descr="Et bilde som inneholder tekst, Font, line, nummer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18C2" w14:textId="7180FEB5" w:rsidR="00BB1577" w:rsidRPr="00552C9E" w:rsidRDefault="00694118" w:rsidP="009F7B4E">
      <w:pPr>
        <w:jc w:val="both"/>
        <w:rPr>
          <w:rFonts w:eastAsia="Times New Roman" w:cstheme="minorHAnsi"/>
          <w:b/>
          <w:bCs/>
          <w:sz w:val="24"/>
          <w:szCs w:val="24"/>
          <w:u w:val="single"/>
          <w:lang w:val="pl"/>
        </w:rPr>
      </w:pPr>
      <w:r w:rsidRPr="00F4202C">
        <w:rPr>
          <w:noProof/>
        </w:rPr>
        <w:lastRenderedPageBreak/>
        <w:drawing>
          <wp:inline distT="0" distB="0" distL="0" distR="0" wp14:anchorId="5D5F4814" wp14:editId="2B5D012E">
            <wp:extent cx="4343400" cy="6127430"/>
            <wp:effectExtent l="0" t="0" r="0" b="6985"/>
            <wp:docPr id="6604789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78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5093" cy="615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1E5D" w14:textId="14B69209" w:rsidR="009F7B4E" w:rsidRPr="00552C9E" w:rsidRDefault="009F7B4E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1D51F3DE" w14:textId="77777777" w:rsidR="009F7B4E" w:rsidRPr="00552C9E" w:rsidRDefault="009F7B4E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2900A7E6" w14:textId="27825B47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Cs/>
          <w:i/>
          <w:iCs/>
          <w:sz w:val="24"/>
          <w:szCs w:val="24"/>
          <w:lang w:val="pl"/>
        </w:rPr>
      </w:pPr>
      <w:r w:rsidRPr="009F7B4E">
        <w:rPr>
          <w:rFonts w:eastAsia="Times New Roman" w:cstheme="minorHAnsi"/>
          <w:b/>
          <w:sz w:val="24"/>
          <w:szCs w:val="24"/>
          <w:lang w:val="pl"/>
        </w:rPr>
        <w:t>Artykuł 42 ust. 4</w:t>
      </w:r>
      <w:r w:rsidR="006F0BC4">
        <w:rPr>
          <w:rFonts w:eastAsia="Times New Roman" w:cstheme="minorHAnsi"/>
          <w:b/>
          <w:sz w:val="24"/>
          <w:szCs w:val="24"/>
          <w:lang w:val="pl"/>
        </w:rPr>
        <w:t xml:space="preserve">- </w:t>
      </w:r>
      <w:r w:rsidR="006F0BC4" w:rsidRPr="006F0BC4">
        <w:rPr>
          <w:rFonts w:eastAsia="Times New Roman" w:cstheme="minorHAnsi"/>
          <w:bCs/>
          <w:sz w:val="24"/>
          <w:szCs w:val="24"/>
          <w:lang w:val="pl"/>
        </w:rPr>
        <w:t>stanowi</w:t>
      </w:r>
      <w:r w:rsidR="006F0BC4">
        <w:rPr>
          <w:rFonts w:eastAsia="Times New Roman" w:cstheme="minorHAnsi"/>
          <w:bCs/>
          <w:sz w:val="24"/>
          <w:szCs w:val="24"/>
          <w:lang w:val="pl"/>
        </w:rPr>
        <w:t xml:space="preserve"> -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Dowody pochodzenia wystawione lub sporządzone zgodnie z</w:t>
      </w:r>
      <w:r w:rsidR="00FD5B51">
        <w:rPr>
          <w:rFonts w:eastAsia="Times New Roman" w:cstheme="minorHAnsi"/>
          <w:bCs/>
          <w:i/>
          <w:iCs/>
          <w:sz w:val="24"/>
          <w:szCs w:val="24"/>
          <w:lang w:val="pl"/>
        </w:rPr>
        <w:t> </w:t>
      </w:r>
      <w:r w:rsidR="006F0BC4">
        <w:rPr>
          <w:rFonts w:eastAsia="Times New Roman" w:cstheme="minorHAnsi"/>
          <w:bCs/>
          <w:i/>
          <w:iCs/>
          <w:sz w:val="24"/>
          <w:szCs w:val="24"/>
          <w:lang w:val="pl"/>
        </w:rPr>
        <w:t>D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odatkiem I do </w:t>
      </w:r>
      <w:r w:rsidR="006F0BC4">
        <w:rPr>
          <w:rFonts w:eastAsia="Times New Roman" w:cstheme="minorHAnsi"/>
          <w:bCs/>
          <w:i/>
          <w:iCs/>
          <w:sz w:val="24"/>
          <w:szCs w:val="24"/>
          <w:lang w:val="pl"/>
        </w:rPr>
        <w:t>K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onwencji opublikowanym w Dz.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U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rz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. L 54 z 26.2.2013 lub wystawione zgodnie z regułami pochodzenia zawartymi w protokołach poprzedzających </w:t>
      </w:r>
      <w:r w:rsidR="00FD5B51">
        <w:rPr>
          <w:rFonts w:eastAsia="Times New Roman" w:cstheme="minorHAnsi"/>
          <w:bCs/>
          <w:i/>
          <w:iCs/>
          <w:sz w:val="24"/>
          <w:szCs w:val="24"/>
          <w:lang w:val="pl"/>
        </w:rPr>
        <w:t>K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onwencję przed datą wejścia w życie zmiany protokołów dwustronnych między umawiającymi się stronami w</w:t>
      </w:r>
      <w:r w:rsidR="00F40F64">
        <w:rPr>
          <w:rFonts w:eastAsia="Times New Roman" w:cstheme="minorHAnsi"/>
          <w:bCs/>
          <w:i/>
          <w:iCs/>
          <w:sz w:val="24"/>
          <w:szCs w:val="24"/>
          <w:lang w:val="pl"/>
        </w:rPr>
        <w:t> 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celu włączenia odniesienia do </w:t>
      </w:r>
      <w:r w:rsidR="00FD5B51">
        <w:rPr>
          <w:rFonts w:eastAsia="Times New Roman" w:cstheme="minorHAnsi"/>
          <w:bCs/>
          <w:i/>
          <w:iCs/>
          <w:sz w:val="24"/>
          <w:szCs w:val="24"/>
          <w:lang w:val="pl"/>
        </w:rPr>
        <w:t>K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onwencji z ostatnimi zmianami i przedłożone po tej dacie są akceptowane w okresie ich ważności w </w:t>
      </w:r>
      <w:r w:rsidR="00F40F64">
        <w:rPr>
          <w:rFonts w:eastAsia="Times New Roman" w:cstheme="minorHAnsi"/>
          <w:bCs/>
          <w:i/>
          <w:iCs/>
          <w:sz w:val="24"/>
          <w:szCs w:val="24"/>
          <w:lang w:val="pl"/>
        </w:rPr>
        <w:t>celu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preferencyjnego traktowania przy przywozie towarów, które w tym dniu znajdują się w tranzycie lub są objęte procedurą specjalną pod kontrolą celną. W przypadku </w:t>
      </w:r>
      <w:r w:rsidR="00FD5B51">
        <w:rPr>
          <w:rFonts w:eastAsia="Times New Roman" w:cstheme="minorHAnsi"/>
          <w:bCs/>
          <w:i/>
          <w:iCs/>
          <w:sz w:val="24"/>
          <w:szCs w:val="24"/>
          <w:lang w:val="pl"/>
        </w:rPr>
        <w:t>o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późnionego przedstawienia takich dowodów stosuje się art. 23 ust. 2 i 3.</w:t>
      </w:r>
    </w:p>
    <w:p w14:paraId="457153C3" w14:textId="41E4120F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lastRenderedPageBreak/>
        <w:t xml:space="preserve">Przepis ten gwarantuje, że towary w tranzycie lub składowane, z ważnym dowodem pochodzenia wystawionym lub sporządzonym zgodnie z regułami z 2012 r. lub starymi protokołami PEM, nie tracą statusu pochodzenia i </w:t>
      </w:r>
      <w:r w:rsidR="00FD5B51">
        <w:rPr>
          <w:rFonts w:eastAsia="Times New Roman" w:cstheme="minorHAnsi"/>
          <w:bCs/>
          <w:sz w:val="24"/>
          <w:szCs w:val="24"/>
          <w:lang w:val="pl"/>
        </w:rPr>
        <w:t xml:space="preserve">prawa do 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preferencyjnego traktowania po dotarciu do miejsca przeznaczenia po dacie wejścia w życie dynamicznego powiązania z</w:t>
      </w:r>
      <w:r w:rsidR="00FD5B51">
        <w:rPr>
          <w:rFonts w:eastAsia="Times New Roman" w:cstheme="minorHAnsi"/>
          <w:bCs/>
          <w:sz w:val="24"/>
          <w:szCs w:val="24"/>
          <w:lang w:val="pl"/>
        </w:rPr>
        <w:t> K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onwencją</w:t>
      </w:r>
      <w:r w:rsidR="00732369">
        <w:rPr>
          <w:rFonts w:eastAsia="Times New Roman" w:cstheme="minorHAnsi"/>
          <w:bCs/>
          <w:sz w:val="24"/>
          <w:szCs w:val="24"/>
          <w:lang w:val="pl"/>
        </w:rPr>
        <w:t xml:space="preserve"> PEM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29A97A80" w14:textId="6688509C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</w:p>
    <w:p w14:paraId="2A09ADF9" w14:textId="172A7636" w:rsidR="009F7B4E" w:rsidRPr="009F7B4E" w:rsidRDefault="00732369" w:rsidP="00CB3599">
      <w:pPr>
        <w:spacing w:before="120" w:after="120"/>
        <w:jc w:val="both"/>
        <w:rPr>
          <w:rFonts w:eastAsia="Times New Roman" w:cstheme="minorHAnsi"/>
          <w:b/>
          <w:i/>
          <w:iCs/>
          <w:sz w:val="24"/>
          <w:szCs w:val="24"/>
          <w:lang w:val="pl"/>
        </w:rPr>
      </w:pPr>
      <w:r>
        <w:rPr>
          <w:rFonts w:eastAsia="Times New Roman" w:cstheme="minorHAnsi"/>
          <w:b/>
          <w:sz w:val="24"/>
          <w:szCs w:val="24"/>
          <w:lang w:val="pl"/>
        </w:rPr>
        <w:t>A</w:t>
      </w:r>
      <w:r w:rsidR="009F7B4E" w:rsidRPr="009F7B4E">
        <w:rPr>
          <w:rFonts w:eastAsia="Times New Roman" w:cstheme="minorHAnsi"/>
          <w:b/>
          <w:sz w:val="24"/>
          <w:szCs w:val="24"/>
          <w:lang w:val="pl"/>
        </w:rPr>
        <w:t>rtykuł 42 ust. 9</w:t>
      </w:r>
      <w:r w:rsidR="006374E5">
        <w:rPr>
          <w:rFonts w:eastAsia="Times New Roman" w:cstheme="minorHAnsi"/>
          <w:b/>
          <w:sz w:val="24"/>
          <w:szCs w:val="24"/>
          <w:lang w:val="pl"/>
        </w:rPr>
        <w:t xml:space="preserve"> stanowi -  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Świadectwa przewozowe EUR.1 wystawione zgodnie z niniejszym 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D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odatkiem zawierają w polu 7 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zapis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w języku angielskim „REVISED RULES”. 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Zapis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t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en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dodaje się również na końcu tekstu deklaracji pochodzenia sporządzonej zgodnie z niniejszym 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D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odatkiem. 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Zapis ten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za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mieszcza się w dowodach pochodzenia do dnia 31 grudnia 2025</w:t>
      </w:r>
      <w:r w:rsidR="003045F5">
        <w:rPr>
          <w:rFonts w:eastAsia="Times New Roman" w:cstheme="minorHAnsi"/>
          <w:bCs/>
          <w:i/>
          <w:iCs/>
          <w:sz w:val="24"/>
          <w:szCs w:val="24"/>
          <w:lang w:val="pl"/>
        </w:rPr>
        <w:t> </w:t>
      </w:r>
      <w:r w:rsidR="009F7B4E"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r.</w:t>
      </w:r>
    </w:p>
    <w:p w14:paraId="5063F9B4" w14:textId="4DEFB93F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Aby dokonać rozróżnienia między dwoma zbiorami reguł, dowody pochodzenia wystawione lub sporządzone zgodnie z regułami z 2023 r. powinny zawierać </w:t>
      </w:r>
      <w:r w:rsidR="00523EB1" w:rsidRPr="009F7B4E">
        <w:rPr>
          <w:rFonts w:eastAsia="Times New Roman" w:cstheme="minorHAnsi"/>
          <w:bCs/>
          <w:sz w:val="24"/>
          <w:szCs w:val="24"/>
          <w:lang w:val="pl"/>
        </w:rPr>
        <w:t>do dnia 31 grudnia 2025 r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3045F5"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„</w:t>
      </w:r>
      <w:r w:rsidR="006374E5">
        <w:rPr>
          <w:rFonts w:eastAsia="Times New Roman" w:cstheme="minorHAnsi"/>
          <w:bCs/>
          <w:sz w:val="24"/>
          <w:szCs w:val="24"/>
          <w:lang w:val="pl"/>
        </w:rPr>
        <w:t>REVISED RU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L</w:t>
      </w:r>
      <w:r w:rsidR="006374E5">
        <w:rPr>
          <w:rFonts w:eastAsia="Times New Roman" w:cstheme="minorHAnsi"/>
          <w:bCs/>
          <w:sz w:val="24"/>
          <w:szCs w:val="24"/>
          <w:lang w:val="pl"/>
        </w:rPr>
        <w:t>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”. Od 1 stycznia 2026 r.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2012 r. nie będą już miały zastosowania równolegle z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2023 r. W związku z tym od tego dnia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t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en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nie będzie już konieczn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y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. Dowody pochodzenia zawierające t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en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po dniu 1 stycznia 2026 r. nie powinny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 xml:space="preserve">być 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jednak odrzucone.</w:t>
      </w:r>
    </w:p>
    <w:p w14:paraId="266F5CD6" w14:textId="50440E47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Podobnie deklaracje dostawców z UE, w tym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„</w:t>
      </w:r>
      <w:r w:rsidR="006374E5">
        <w:rPr>
          <w:rFonts w:eastAsia="Times New Roman" w:cstheme="minorHAnsi"/>
          <w:b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 po dniu 1 stycznia 2026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 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r., powinny być akceptowane do celów wy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stawiania i sporządzania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dowodów pochodzenia w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 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ramach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2023 r.</w:t>
      </w:r>
    </w:p>
    <w:p w14:paraId="19494D8B" w14:textId="6A3ABA05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Dowody pochodzenia wystawione lub sporządzone w 2025 r.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zawierające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zapis</w:t>
      </w:r>
      <w:r w:rsidR="006374E5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„</w:t>
      </w:r>
      <w:r w:rsidR="006374E5">
        <w:rPr>
          <w:rFonts w:eastAsia="Times New Roman" w:cstheme="minorHAnsi"/>
          <w:bCs/>
          <w:sz w:val="24"/>
          <w:szCs w:val="24"/>
          <w:lang w:val="pl"/>
        </w:rPr>
        <w:t>TRANSITIONAL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 zamiast „</w:t>
      </w:r>
      <w:r w:rsidR="006374E5">
        <w:rPr>
          <w:rFonts w:eastAsia="Times New Roman" w:cstheme="minorHAnsi"/>
          <w:b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”, nie powinny być odrzucane.</w:t>
      </w:r>
    </w:p>
    <w:p w14:paraId="2C309222" w14:textId="53CE08E5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Podobnie deklaracje dostawców z UE,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zawierające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„</w:t>
      </w:r>
      <w:r w:rsidR="006374E5">
        <w:rPr>
          <w:rFonts w:eastAsia="Times New Roman" w:cstheme="minorHAnsi"/>
          <w:bCs/>
          <w:sz w:val="24"/>
          <w:szCs w:val="24"/>
          <w:lang w:val="pl"/>
        </w:rPr>
        <w:t xml:space="preserve">TRANSITIONAL RULES 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 zamiast „</w:t>
      </w:r>
      <w:r w:rsidR="006374E5">
        <w:rPr>
          <w:rFonts w:eastAsia="Times New Roman" w:cstheme="minorHAnsi"/>
          <w:b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”, powinny być akceptowane do celów wy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stawiania lub sporządzania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dowodów pochodzenia w ramach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2023 r.</w:t>
      </w:r>
    </w:p>
    <w:p w14:paraId="5E62E483" w14:textId="4D54D5A2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Deklaracje dostawców z UE, które nie zawierają żadnych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zapisów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, należy uznać za sporządzone zgodnie z </w:t>
      </w:r>
      <w:r w:rsidR="00523EB1"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2012 r.</w:t>
      </w:r>
    </w:p>
    <w:p w14:paraId="046106E7" w14:textId="7B8AA5B0" w:rsidR="009F7B4E" w:rsidRPr="009F7B4E" w:rsidRDefault="00523EB1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u w:val="single"/>
          <w:lang w:val="pl"/>
        </w:rPr>
      </w:pPr>
      <w:r>
        <w:rPr>
          <w:rFonts w:eastAsia="Times New Roman" w:cstheme="minorHAnsi"/>
          <w:b/>
          <w:iCs/>
          <w:sz w:val="24"/>
          <w:szCs w:val="24"/>
          <w:u w:val="single"/>
          <w:lang w:val="pl"/>
        </w:rPr>
        <w:t>Uwaga:</w:t>
      </w:r>
      <w:r>
        <w:rPr>
          <w:rFonts w:eastAsia="Times New Roman" w:cstheme="minorHAnsi"/>
          <w:b/>
          <w:iCs/>
          <w:sz w:val="24"/>
          <w:szCs w:val="24"/>
          <w:lang w:val="pl"/>
        </w:rPr>
        <w:t xml:space="preserve"> zapis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„</w:t>
      </w:r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REVISED RULES”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powin</w:t>
      </w:r>
      <w:r>
        <w:rPr>
          <w:rFonts w:eastAsia="Times New Roman" w:cstheme="minorHAnsi"/>
          <w:b/>
          <w:iCs/>
          <w:sz w:val="24"/>
          <w:szCs w:val="24"/>
          <w:lang w:val="pl"/>
        </w:rPr>
        <w:t>ien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być zawart</w:t>
      </w:r>
      <w:r>
        <w:rPr>
          <w:rFonts w:eastAsia="Times New Roman" w:cstheme="minorHAnsi"/>
          <w:b/>
          <w:iCs/>
          <w:sz w:val="24"/>
          <w:szCs w:val="24"/>
          <w:lang w:val="pl"/>
        </w:rPr>
        <w:t>y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wyłącznie w dowodach pochodzenia wystawi</w:t>
      </w:r>
      <w:r>
        <w:rPr>
          <w:rFonts w:eastAsia="Times New Roman" w:cstheme="minorHAnsi"/>
          <w:b/>
          <w:iCs/>
          <w:sz w:val="24"/>
          <w:szCs w:val="24"/>
          <w:lang w:val="pl"/>
        </w:rPr>
        <w:t>a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>nych lub sporządz</w:t>
      </w:r>
      <w:r>
        <w:rPr>
          <w:rFonts w:eastAsia="Times New Roman" w:cstheme="minorHAnsi"/>
          <w:b/>
          <w:iCs/>
          <w:sz w:val="24"/>
          <w:szCs w:val="24"/>
          <w:lang w:val="pl"/>
        </w:rPr>
        <w:t>a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nych w odniesieniu do towarów wywożonych do </w:t>
      </w:r>
      <w:r w:rsidR="00732369">
        <w:rPr>
          <w:rFonts w:eastAsia="Times New Roman" w:cstheme="minorHAnsi"/>
          <w:b/>
          <w:iCs/>
          <w:sz w:val="24"/>
          <w:szCs w:val="24"/>
          <w:lang w:val="pl"/>
        </w:rPr>
        <w:t xml:space="preserve">tych </w:t>
      </w:r>
      <w:proofErr w:type="spellStart"/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CP</w:t>
      </w:r>
      <w:r>
        <w:rPr>
          <w:rFonts w:eastAsia="Times New Roman" w:cstheme="minorHAnsi"/>
          <w:b/>
          <w:iCs/>
          <w:sz w:val="24"/>
          <w:szCs w:val="24"/>
          <w:lang w:val="pl"/>
        </w:rPr>
        <w:t>s</w:t>
      </w:r>
      <w:proofErr w:type="spellEnd"/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>, do któr</w:t>
      </w:r>
      <w:r>
        <w:rPr>
          <w:rFonts w:eastAsia="Times New Roman" w:cstheme="minorHAnsi"/>
          <w:b/>
          <w:iCs/>
          <w:sz w:val="24"/>
          <w:szCs w:val="24"/>
          <w:lang w:val="pl"/>
        </w:rPr>
        <w:t>ych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stosuje się </w:t>
      </w:r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D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ecyzję </w:t>
      </w:r>
      <w:r w:rsidR="00694994">
        <w:rPr>
          <w:rFonts w:eastAsia="Times New Roman" w:cstheme="minorHAnsi"/>
          <w:b/>
          <w:iCs/>
          <w:sz w:val="24"/>
          <w:szCs w:val="24"/>
          <w:lang w:val="pl"/>
        </w:rPr>
        <w:t>2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/2024 (status CR), a nie w odniesieniu do towarów wywożonych do </w:t>
      </w:r>
      <w:r w:rsidR="006840D3">
        <w:rPr>
          <w:rFonts w:eastAsia="Times New Roman" w:cstheme="minorHAnsi"/>
          <w:b/>
          <w:iCs/>
          <w:sz w:val="24"/>
          <w:szCs w:val="24"/>
          <w:lang w:val="pl"/>
        </w:rPr>
        <w:t xml:space="preserve">tych </w:t>
      </w:r>
      <w:proofErr w:type="spellStart"/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CP</w:t>
      </w:r>
      <w:r>
        <w:rPr>
          <w:rFonts w:eastAsia="Times New Roman" w:cstheme="minorHAnsi"/>
          <w:b/>
          <w:iCs/>
          <w:sz w:val="24"/>
          <w:szCs w:val="24"/>
          <w:lang w:val="pl"/>
        </w:rPr>
        <w:t>s</w:t>
      </w:r>
      <w:proofErr w:type="spellEnd"/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>, do któr</w:t>
      </w:r>
      <w:r>
        <w:rPr>
          <w:rFonts w:eastAsia="Times New Roman" w:cstheme="minorHAnsi"/>
          <w:b/>
          <w:iCs/>
          <w:sz w:val="24"/>
          <w:szCs w:val="24"/>
          <w:lang w:val="pl"/>
        </w:rPr>
        <w:t>ych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stosuje się wyłącznie </w:t>
      </w:r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reguły</w:t>
      </w:r>
      <w:r w:rsidR="009F7B4E"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z 2023 r. (status R).</w:t>
      </w:r>
    </w:p>
    <w:p w14:paraId="1952707C" w14:textId="27FB32DA" w:rsidR="009F7B4E" w:rsidRPr="009F7B4E" w:rsidRDefault="009F7B4E" w:rsidP="00CB3599">
      <w:pPr>
        <w:spacing w:before="120" w:after="120"/>
        <w:jc w:val="both"/>
        <w:rPr>
          <w:rFonts w:eastAsia="Times New Roman" w:cstheme="minorHAnsi"/>
          <w:b/>
          <w:iCs/>
          <w:sz w:val="24"/>
          <w:szCs w:val="24"/>
          <w:lang w:val="pl"/>
        </w:rPr>
      </w:pP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Niemniej jednak dowody pochodzenia zawierające </w:t>
      </w:r>
      <w:r w:rsidR="00523EB1">
        <w:rPr>
          <w:rFonts w:eastAsia="Times New Roman" w:cstheme="minorHAnsi"/>
          <w:b/>
          <w:i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„</w:t>
      </w:r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” nie powinny być odrzucane przy przywozie </w:t>
      </w:r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do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</w:t>
      </w:r>
      <w:r w:rsidR="006840D3">
        <w:rPr>
          <w:rFonts w:eastAsia="Times New Roman" w:cstheme="minorHAnsi"/>
          <w:b/>
          <w:iCs/>
          <w:sz w:val="24"/>
          <w:szCs w:val="24"/>
          <w:lang w:val="pl"/>
        </w:rPr>
        <w:t xml:space="preserve">tych </w:t>
      </w:r>
      <w:proofErr w:type="spellStart"/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CP</w:t>
      </w:r>
      <w:r w:rsidR="00523EB1">
        <w:rPr>
          <w:rFonts w:eastAsia="Times New Roman" w:cstheme="minorHAnsi"/>
          <w:b/>
          <w:iCs/>
          <w:sz w:val="24"/>
          <w:szCs w:val="24"/>
          <w:lang w:val="pl"/>
        </w:rPr>
        <w:t>s</w:t>
      </w:r>
      <w:proofErr w:type="spellEnd"/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, któr</w:t>
      </w:r>
      <w:r w:rsidR="00286635" w:rsidRPr="004C52AF">
        <w:rPr>
          <w:rFonts w:eastAsia="Times New Roman" w:cstheme="minorHAnsi"/>
          <w:b/>
          <w:iCs/>
          <w:sz w:val="24"/>
          <w:szCs w:val="24"/>
          <w:lang w:val="pl"/>
        </w:rPr>
        <w:t>e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</w:t>
      </w:r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nie stosuj</w:t>
      </w:r>
      <w:r w:rsidR="00523EB1">
        <w:rPr>
          <w:rFonts w:eastAsia="Times New Roman" w:cstheme="minorHAnsi"/>
          <w:b/>
          <w:iCs/>
          <w:sz w:val="24"/>
          <w:szCs w:val="24"/>
          <w:lang w:val="pl"/>
        </w:rPr>
        <w:t>ą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</w:t>
      </w:r>
      <w:r w:rsidR="006374E5" w:rsidRPr="004C52AF">
        <w:rPr>
          <w:rFonts w:eastAsia="Times New Roman" w:cstheme="minorHAnsi"/>
          <w:b/>
          <w:iCs/>
          <w:sz w:val="24"/>
          <w:szCs w:val="24"/>
          <w:lang w:val="pl"/>
        </w:rPr>
        <w:t>D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ecyzji </w:t>
      </w:r>
      <w:r w:rsidR="00694994">
        <w:rPr>
          <w:rFonts w:eastAsia="Times New Roman" w:cstheme="minorHAnsi"/>
          <w:b/>
          <w:iCs/>
          <w:sz w:val="24"/>
          <w:szCs w:val="24"/>
          <w:lang w:val="pl"/>
        </w:rPr>
        <w:t>2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/2024.</w:t>
      </w:r>
    </w:p>
    <w:p w14:paraId="7253247D" w14:textId="77777777" w:rsidR="004C52AF" w:rsidRDefault="004C52AF" w:rsidP="004C52AF">
      <w:pPr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</w:p>
    <w:p w14:paraId="44E05221" w14:textId="6AF16953" w:rsidR="004C52AF" w:rsidRDefault="004C52AF" w:rsidP="009F7B4E">
      <w:pPr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Przykłady dowodów pochodzenia wystawionych lub sporządzonych zgodnie z regułami z</w:t>
      </w:r>
      <w:r w:rsidR="006A6FA5"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2023</w:t>
      </w:r>
      <w:r w:rsidR="006A6FA5"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r.:</w:t>
      </w:r>
    </w:p>
    <w:p w14:paraId="31B3239A" w14:textId="77777777" w:rsidR="004C52AF" w:rsidRPr="00857F1C" w:rsidRDefault="004C52AF" w:rsidP="009F7B4E">
      <w:pPr>
        <w:jc w:val="both"/>
        <w:rPr>
          <w:noProof/>
          <w:lang w:val="pl-PL"/>
        </w:rPr>
      </w:pPr>
    </w:p>
    <w:p w14:paraId="2BD5D361" w14:textId="77777777" w:rsidR="004C52AF" w:rsidRDefault="004C52AF" w:rsidP="009F7B4E">
      <w:pPr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>
        <w:rPr>
          <w:noProof/>
        </w:rPr>
        <w:lastRenderedPageBreak/>
        <w:drawing>
          <wp:inline distT="0" distB="0" distL="0" distR="0" wp14:anchorId="4676589B" wp14:editId="4532112B">
            <wp:extent cx="3848100" cy="5285520"/>
            <wp:effectExtent l="0" t="0" r="0" b="0"/>
            <wp:docPr id="1382292564" name="Bilde 1" descr="Et bilde som inneholder tekst, skjermbilde, Parallell, diagram  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92564" name="Bilde 1" descr="Et bilde som inneholder tekst, skjermbilde, Parallell, diagram  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4765" cy="536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D1D0" w14:textId="77777777" w:rsidR="00694994" w:rsidRDefault="00694994" w:rsidP="004C52AF">
      <w:pPr>
        <w:jc w:val="both"/>
        <w:rPr>
          <w:rFonts w:eastAsia="Times New Roman" w:cstheme="minorHAnsi"/>
          <w:b/>
          <w:iCs/>
          <w:sz w:val="24"/>
          <w:szCs w:val="24"/>
          <w:lang w:val="pl-PL"/>
        </w:rPr>
      </w:pPr>
    </w:p>
    <w:p w14:paraId="20BF4A30" w14:textId="4A9781D8" w:rsidR="00694994" w:rsidRDefault="00694994" w:rsidP="004C52AF">
      <w:pPr>
        <w:jc w:val="both"/>
        <w:rPr>
          <w:rFonts w:eastAsia="Times New Roman" w:cstheme="minorHAnsi"/>
          <w:b/>
          <w:iCs/>
          <w:sz w:val="24"/>
          <w:szCs w:val="24"/>
          <w:lang w:val="pl-PL"/>
        </w:rPr>
      </w:pPr>
      <w:r>
        <w:rPr>
          <w:rFonts w:eastAsia="Times New Roman" w:cstheme="minorHAnsi"/>
          <w:b/>
          <w:iCs/>
          <w:noProof/>
          <w:sz w:val="24"/>
          <w:szCs w:val="24"/>
          <w:lang w:val="pl-PL"/>
        </w:rPr>
        <w:drawing>
          <wp:inline distT="0" distB="0" distL="0" distR="0" wp14:anchorId="0E214378" wp14:editId="71C5C15A">
            <wp:extent cx="5761355" cy="14141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D2FCA" w14:textId="77777777" w:rsidR="00694994" w:rsidRDefault="00694994" w:rsidP="004C52AF">
      <w:pPr>
        <w:jc w:val="both"/>
        <w:rPr>
          <w:rFonts w:eastAsia="Times New Roman" w:cstheme="minorHAnsi"/>
          <w:b/>
          <w:iCs/>
          <w:sz w:val="24"/>
          <w:szCs w:val="24"/>
          <w:lang w:val="pl-PL"/>
        </w:rPr>
      </w:pPr>
    </w:p>
    <w:p w14:paraId="5FF5DAE9" w14:textId="77777777" w:rsidR="006840D3" w:rsidRDefault="006840D3">
      <w:pPr>
        <w:rPr>
          <w:rFonts w:eastAsia="Times New Roman" w:cstheme="minorHAnsi"/>
          <w:b/>
          <w:iCs/>
          <w:sz w:val="24"/>
          <w:szCs w:val="24"/>
          <w:lang w:val="pl-PL"/>
        </w:rPr>
      </w:pPr>
      <w:r>
        <w:rPr>
          <w:rFonts w:eastAsia="Times New Roman" w:cstheme="minorHAnsi"/>
          <w:b/>
          <w:iCs/>
          <w:sz w:val="24"/>
          <w:szCs w:val="24"/>
          <w:lang w:val="pl-PL"/>
        </w:rPr>
        <w:br w:type="page"/>
      </w:r>
    </w:p>
    <w:p w14:paraId="12DC411A" w14:textId="2D7DF819" w:rsidR="006840D3" w:rsidRPr="006840D3" w:rsidRDefault="006840D3" w:rsidP="00CB3599">
      <w:pPr>
        <w:spacing w:before="120" w:after="0"/>
        <w:jc w:val="both"/>
        <w:rPr>
          <w:rFonts w:eastAsia="Times New Roman" w:cstheme="minorHAnsi"/>
          <w:b/>
          <w:iCs/>
          <w:color w:val="FF0000"/>
          <w:sz w:val="28"/>
          <w:szCs w:val="28"/>
          <w:lang w:val="pl-PL"/>
        </w:rPr>
      </w:pPr>
      <w:r w:rsidRPr="006840D3">
        <w:rPr>
          <w:rFonts w:eastAsia="Times New Roman" w:cstheme="minorHAnsi"/>
          <w:b/>
          <w:iCs/>
          <w:color w:val="FF0000"/>
          <w:sz w:val="28"/>
          <w:szCs w:val="28"/>
          <w:lang w:val="pl-PL"/>
        </w:rPr>
        <w:lastRenderedPageBreak/>
        <w:t>4. ZASADA PRZENIKALNOŚCI</w:t>
      </w:r>
    </w:p>
    <w:p w14:paraId="24D19117" w14:textId="08FA9407" w:rsidR="004C52AF" w:rsidRPr="004C52AF" w:rsidRDefault="006840D3" w:rsidP="006840D3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W ramach kumulacji pochodzenia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możliwa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jest tzw. </w:t>
      </w:r>
      <w:r w:rsid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przenikalność 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między 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regułami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i</w:t>
      </w:r>
      <w:r w:rsidR="00F81319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regułami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 (tylko od 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 do 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r.). Oznacza to, że przepisy dotyczące kumulacji zawarte w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>regułach z 2023 r. mogą mieć również zastosowanie do produktów objętych regułami z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>2012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>r. w przypadkach, gdy produkty spełniają wymogi obu zestawów reguł.</w:t>
      </w:r>
    </w:p>
    <w:p w14:paraId="16B7E3FE" w14:textId="05860395" w:rsidR="004C52AF" w:rsidRPr="004C52AF" w:rsidRDefault="004C52AF" w:rsidP="00CB3599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Ponieważ reguły pochodzenia przewidziane w regułach z 2012 r. są ogólnie bardziej restrykcyjne niż reguły z 2023 r. 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(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z pewnymi wyjątkami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),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towary spełniające reguły z 2012 r. mog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 xml:space="preserve">ą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by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ć uznane za spełniające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 xml:space="preserve">także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</w:t>
      </w:r>
    </w:p>
    <w:p w14:paraId="27B24970" w14:textId="574CAECE" w:rsidR="004C52AF" w:rsidRPr="004C52AF" w:rsidRDefault="004C52AF" w:rsidP="00CB3599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Prze</w:t>
      </w:r>
      <w:r w:rsidR="00295C5C">
        <w:rPr>
          <w:rFonts w:eastAsia="Times New Roman" w:cstheme="minorHAnsi"/>
          <w:bCs/>
          <w:iCs/>
          <w:sz w:val="24"/>
          <w:szCs w:val="24"/>
          <w:lang w:val="pl"/>
        </w:rPr>
        <w:t xml:space="preserve">nikalność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oznacza</w:t>
      </w:r>
      <w:r w:rsidR="006840D3">
        <w:rPr>
          <w:rFonts w:eastAsia="Times New Roman" w:cstheme="minorHAnsi"/>
          <w:bCs/>
          <w:iCs/>
          <w:sz w:val="24"/>
          <w:szCs w:val="24"/>
          <w:lang w:val="pl"/>
        </w:rPr>
        <w:t xml:space="preserve"> więc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, że pochodzenie produktu końcowego można 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być ustalone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zgodnie z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regułami z 2023 r. poprzez zastosowanie kumulacji z materiałami pochodzącymi 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w</w:t>
      </w:r>
      <w:r w:rsidR="006840D3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oparciu o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r., w przypadku gdy kumulacja jest możliwa zgodnie z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matrix.</w:t>
      </w:r>
    </w:p>
    <w:p w14:paraId="7DB81012" w14:textId="5662AB0D" w:rsidR="004C52AF" w:rsidRPr="004C52AF" w:rsidRDefault="00295C5C" w:rsidP="00CB3599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Przenikalność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jest ograniczona do tych produktów, w przypadku których </w:t>
      </w:r>
      <w:r w:rsidR="005017BE">
        <w:rPr>
          <w:rFonts w:eastAsia="Times New Roman" w:cstheme="minorHAnsi"/>
          <w:bCs/>
          <w:iCs/>
          <w:sz w:val="24"/>
          <w:szCs w:val="24"/>
          <w:lang w:val="pl"/>
        </w:rPr>
        <w:t>reguły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 są łagodniejsze niż </w:t>
      </w:r>
      <w:r w:rsidR="00511347">
        <w:rPr>
          <w:rFonts w:eastAsia="Times New Roman" w:cstheme="minorHAnsi"/>
          <w:bCs/>
          <w:iCs/>
          <w:sz w:val="24"/>
          <w:szCs w:val="24"/>
          <w:lang w:val="pl"/>
        </w:rPr>
        <w:t>reguły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r.:</w:t>
      </w:r>
    </w:p>
    <w:p w14:paraId="194D8032" w14:textId="7DB69D41" w:rsidR="004C52AF" w:rsidRPr="004C52AF" w:rsidRDefault="00511347" w:rsidP="00CB3599">
      <w:pPr>
        <w:numPr>
          <w:ilvl w:val="0"/>
          <w:numId w:val="41"/>
        </w:numPr>
        <w:spacing w:before="120" w:after="0"/>
        <w:ind w:left="714" w:hanging="357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p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rodukty objęte działami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HS 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1, 3 i 16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(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>w odniesieniu do przetworzonych produktów rybołówstwa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),</w:t>
      </w:r>
    </w:p>
    <w:p w14:paraId="4D3BC92B" w14:textId="29AA76AF" w:rsidR="004C52AF" w:rsidRPr="004C52AF" w:rsidRDefault="00511347" w:rsidP="006840D3">
      <w:pPr>
        <w:numPr>
          <w:ilvl w:val="0"/>
          <w:numId w:val="41"/>
        </w:numPr>
        <w:spacing w:after="120"/>
        <w:ind w:left="714" w:hanging="357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p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rodukty przemysłowe sklasyfikowane w działach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HS 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>25–97.</w:t>
      </w:r>
    </w:p>
    <w:p w14:paraId="09A149A5" w14:textId="061620B5" w:rsidR="004C52AF" w:rsidRPr="004C52AF" w:rsidRDefault="004C52AF" w:rsidP="00CB3599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Jeżeli produkty te </w:t>
      </w:r>
      <w:r w:rsidR="00511347">
        <w:rPr>
          <w:rFonts w:eastAsia="Times New Roman" w:cstheme="minorHAnsi"/>
          <w:bCs/>
          <w:iCs/>
          <w:sz w:val="24"/>
          <w:szCs w:val="24"/>
          <w:lang w:val="pl"/>
        </w:rPr>
        <w:t>spełniają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reguł</w:t>
      </w:r>
      <w:r w:rsidR="00511347">
        <w:rPr>
          <w:rFonts w:eastAsia="Times New Roman" w:cstheme="minorHAnsi"/>
          <w:bCs/>
          <w:iCs/>
          <w:sz w:val="24"/>
          <w:szCs w:val="24"/>
          <w:lang w:val="pl"/>
        </w:rPr>
        <w:t>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r., można je również uznać za pochodzące zgodnie z</w:t>
      </w:r>
      <w:r w:rsidR="00694994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regułami z 2023 r.</w:t>
      </w:r>
    </w:p>
    <w:p w14:paraId="0B92FC50" w14:textId="19F18404" w:rsidR="004C52AF" w:rsidRDefault="004C52AF" w:rsidP="00CB3599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bookmarkStart w:id="2" w:name="_Hlk185343645"/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Deklaracje dostawców sporządzone </w:t>
      </w:r>
      <w:bookmarkEnd w:id="2"/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zgodnie z regułami z 2012 r. mogą być wykorzystywane jako dowody potwierdzające pochodzenie zgodnie z regułami z 2023 r. w odniesieniu do tych towarów, w przypadku których możliwa jest prze</w:t>
      </w:r>
      <w:r w:rsidR="00295C5C">
        <w:rPr>
          <w:rFonts w:eastAsia="Times New Roman" w:cstheme="minorHAnsi"/>
          <w:bCs/>
          <w:iCs/>
          <w:sz w:val="24"/>
          <w:szCs w:val="24"/>
          <w:lang w:val="pl"/>
        </w:rPr>
        <w:t>nikalność.</w:t>
      </w:r>
    </w:p>
    <w:p w14:paraId="61625322" w14:textId="77777777" w:rsidR="00694994" w:rsidRPr="004C52AF" w:rsidRDefault="00694994" w:rsidP="00CB3599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20E63379" w14:textId="71FE5E14" w:rsidR="004C52AF" w:rsidRPr="00694994" w:rsidRDefault="00D77857" w:rsidP="00CB3599">
      <w:pPr>
        <w:spacing w:before="120" w:after="0"/>
        <w:jc w:val="both"/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</w:pP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5</w:t>
      </w:r>
      <w:r w:rsidR="004C52AF" w:rsidRPr="00694994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. M</w:t>
      </w:r>
      <w:r w:rsidR="00694994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ATRIX</w:t>
      </w:r>
    </w:p>
    <w:p w14:paraId="6515B5CB" w14:textId="66E8C72F" w:rsidR="00530FC7" w:rsidRDefault="004C52AF" w:rsidP="00CB3599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 oparciu o status, o który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m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mowa w pkt 2 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wy</w:t>
      </w:r>
      <w:r w:rsidR="00D77857">
        <w:rPr>
          <w:rFonts w:eastAsia="Times New Roman" w:cstheme="minorHAnsi"/>
          <w:bCs/>
          <w:iCs/>
          <w:sz w:val="24"/>
          <w:szCs w:val="24"/>
          <w:lang w:val="pl"/>
        </w:rPr>
        <w:t>jaśnień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 xml:space="preserve"> – w z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awiadomieni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u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Komisji przedstawiając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ym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możliwości kumulacji na podstawie starych protokołów PEM, 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r. i 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 xml:space="preserve">reguł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z 2023 r.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:</w:t>
      </w:r>
    </w:p>
    <w:p w14:paraId="3B2ED282" w14:textId="36A1D2C3" w:rsidR="00530FC7" w:rsidRPr="00A3778C" w:rsidRDefault="00A3778C" w:rsidP="00CB3599">
      <w:pPr>
        <w:pStyle w:val="Akapitzlist"/>
        <w:numPr>
          <w:ilvl w:val="0"/>
          <w:numId w:val="37"/>
        </w:numPr>
        <w:spacing w:before="120" w:after="0"/>
        <w:contextualSpacing w:val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kod </w:t>
      </w:r>
      <w:r w:rsidR="00885EA5">
        <w:rPr>
          <w:rFonts w:eastAsia="Times New Roman" w:cstheme="minorHAnsi"/>
          <w:bCs/>
          <w:iCs/>
          <w:sz w:val="24"/>
          <w:szCs w:val="24"/>
          <w:lang w:val="pl"/>
        </w:rPr>
        <w:t xml:space="preserve">statusu 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R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oznacza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możliwoś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ć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kumulacji na podstawie </w:t>
      </w:r>
      <w:r w:rsidR="00530FC7" w:rsidRPr="00A3778C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3A517B74" w14:textId="2F862C8D" w:rsidR="004C52AF" w:rsidRPr="00A3778C" w:rsidRDefault="00A3778C" w:rsidP="00D77857">
      <w:pPr>
        <w:pStyle w:val="Akapitzlist"/>
        <w:numPr>
          <w:ilvl w:val="0"/>
          <w:numId w:val="37"/>
        </w:numPr>
        <w:spacing w:after="120"/>
        <w:ind w:left="714" w:hanging="357"/>
        <w:contextualSpacing w:val="0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kod </w:t>
      </w:r>
      <w:r w:rsidR="00885EA5">
        <w:rPr>
          <w:rFonts w:eastAsia="Times New Roman" w:cstheme="minorHAnsi"/>
          <w:bCs/>
          <w:iCs/>
          <w:sz w:val="24"/>
          <w:szCs w:val="24"/>
          <w:lang w:val="pl"/>
        </w:rPr>
        <w:t xml:space="preserve">statusu 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C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oznacza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możliwoś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ć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kumulacji na podstawie </w:t>
      </w:r>
      <w:r w:rsidR="00530FC7" w:rsidRPr="00A3778C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oraz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stary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ch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protokoł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="004C52AF"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PEM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62F9EA74" w14:textId="5A777E44" w:rsidR="004C52AF" w:rsidRDefault="00530FC7" w:rsidP="00CB3599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proofErr w:type="spellStart"/>
      <w:r>
        <w:rPr>
          <w:rFonts w:eastAsia="Times New Roman" w:cstheme="minorHAnsi"/>
          <w:bCs/>
          <w:iCs/>
          <w:sz w:val="24"/>
          <w:szCs w:val="24"/>
          <w:lang w:val="pl"/>
        </w:rPr>
        <w:t>CP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s</w:t>
      </w:r>
      <w:proofErr w:type="spellEnd"/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, 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które stosują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D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ecyzję nr </w:t>
      </w:r>
      <w:r w:rsidR="00694994">
        <w:rPr>
          <w:rFonts w:eastAsia="Times New Roman" w:cstheme="minorHAnsi"/>
          <w:bCs/>
          <w:iCs/>
          <w:sz w:val="24"/>
          <w:szCs w:val="24"/>
          <w:lang w:val="pl"/>
        </w:rPr>
        <w:t>2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>/202</w:t>
      </w:r>
      <w:r w:rsidR="00694994">
        <w:rPr>
          <w:rFonts w:eastAsia="Times New Roman" w:cstheme="minorHAnsi"/>
          <w:bCs/>
          <w:iCs/>
          <w:sz w:val="24"/>
          <w:szCs w:val="24"/>
          <w:lang w:val="pl"/>
        </w:rPr>
        <w:t>4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dotyczącą przepisów przejściowych, 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mogą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stosować zarówno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reguły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r., jak i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reguły 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z 2023 r. w odniesieniu do innych </w:t>
      </w:r>
      <w:proofErr w:type="spellStart"/>
      <w:r>
        <w:rPr>
          <w:rFonts w:eastAsia="Times New Roman" w:cstheme="minorHAnsi"/>
          <w:bCs/>
          <w:iCs/>
          <w:sz w:val="24"/>
          <w:szCs w:val="24"/>
          <w:lang w:val="pl"/>
        </w:rPr>
        <w:t>CP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s</w:t>
      </w:r>
      <w:proofErr w:type="spellEnd"/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 -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na podstawie swoich umów dwustronnych. W związku z tym w odpowiednich polach matr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ix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wskazany jest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kod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="00885EA5">
        <w:rPr>
          <w:rFonts w:eastAsia="Times New Roman" w:cstheme="minorHAnsi"/>
          <w:bCs/>
          <w:iCs/>
          <w:sz w:val="24"/>
          <w:szCs w:val="24"/>
          <w:lang w:val="pl"/>
        </w:rPr>
        <w:t xml:space="preserve">statusu 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CR, 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oznaczający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możliwoś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>ć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kumulacji zgodnie z obydwoma zbiorami reguł.</w:t>
      </w:r>
    </w:p>
    <w:p w14:paraId="09692DB9" w14:textId="77777777" w:rsidR="00D77857" w:rsidRDefault="00D77857">
      <w:pPr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br w:type="page"/>
      </w:r>
    </w:p>
    <w:p w14:paraId="28A451C3" w14:textId="0B2E4712" w:rsidR="004C52AF" w:rsidRPr="004C52AF" w:rsidRDefault="004C52AF" w:rsidP="004C52AF">
      <w:pPr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lastRenderedPageBreak/>
        <w:t xml:space="preserve">Symulacja </w:t>
      </w:r>
      <w:r w:rsid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fragmentu matrix </w:t>
      </w:r>
      <w:r w:rsidR="00694994">
        <w:rPr>
          <w:rFonts w:eastAsia="Times New Roman" w:cstheme="minorHAnsi"/>
          <w:bCs/>
          <w:iCs/>
          <w:sz w:val="24"/>
          <w:szCs w:val="24"/>
          <w:lang w:val="pl"/>
        </w:rPr>
        <w:t>z</w:t>
      </w:r>
      <w:r w:rsidR="007A4D21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="00694994">
        <w:rPr>
          <w:rFonts w:eastAsia="Times New Roman" w:cstheme="minorHAnsi"/>
          <w:bCs/>
          <w:iCs/>
          <w:sz w:val="24"/>
          <w:szCs w:val="24"/>
          <w:lang w:val="pl"/>
        </w:rPr>
        <w:t>z</w:t>
      </w:r>
      <w:r w:rsidR="00530FC7">
        <w:rPr>
          <w:rFonts w:eastAsia="Times New Roman" w:cstheme="minorHAnsi"/>
          <w:bCs/>
          <w:iCs/>
          <w:sz w:val="24"/>
          <w:szCs w:val="24"/>
          <w:lang w:val="pl"/>
        </w:rPr>
        <w:t>awiadomieni</w:t>
      </w:r>
      <w:r w:rsidR="007A4D21">
        <w:rPr>
          <w:rFonts w:eastAsia="Times New Roman" w:cstheme="minorHAnsi"/>
          <w:bCs/>
          <w:iCs/>
          <w:sz w:val="24"/>
          <w:szCs w:val="24"/>
          <w:lang w:val="pl"/>
        </w:rPr>
        <w:t xml:space="preserve">a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Komisji:</w:t>
      </w:r>
    </w:p>
    <w:tbl>
      <w:tblPr>
        <w:tblW w:w="3639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"/>
        <w:gridCol w:w="1427"/>
        <w:gridCol w:w="1427"/>
        <w:gridCol w:w="1314"/>
        <w:gridCol w:w="1414"/>
      </w:tblGrid>
      <w:tr w:rsidR="004C52AF" w:rsidRPr="004C52AF" w14:paraId="3B062EAF" w14:textId="77777777" w:rsidTr="004B2291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E175B7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DB915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UE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23F09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EFTA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8FF07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EG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FCA9AE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TN</w:t>
            </w:r>
          </w:p>
        </w:tc>
      </w:tr>
      <w:tr w:rsidR="004C52AF" w:rsidRPr="004C52AF" w14:paraId="122D0CB5" w14:textId="77777777" w:rsidTr="004B2291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9CB6F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UE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F3E55AF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A1E3A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CR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5018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R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B64F6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</w:tr>
      <w:tr w:rsidR="004C52AF" w:rsidRPr="004C52AF" w14:paraId="377C3383" w14:textId="77777777" w:rsidTr="004B2291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3F56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EFTA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3C04C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CR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C751FB0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9B5A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7B34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</w:tr>
      <w:tr w:rsidR="004C52AF" w:rsidRPr="004C52AF" w14:paraId="5AECE9F0" w14:textId="77777777" w:rsidTr="004B2291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F638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EG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28B1A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R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263B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20A91B4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49249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</w:tr>
      <w:tr w:rsidR="004C52AF" w:rsidRPr="004C52AF" w14:paraId="14A2B1DE" w14:textId="77777777" w:rsidTr="004B2291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79D9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TN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A559E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37BCC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0FC13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C23633C" w14:textId="77777777" w:rsidR="004C52AF" w:rsidRPr="004C52AF" w:rsidRDefault="004C52AF" w:rsidP="004C52AF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</w:p>
        </w:tc>
      </w:tr>
    </w:tbl>
    <w:p w14:paraId="27B4A97F" w14:textId="77777777" w:rsidR="00530FC7" w:rsidRDefault="00530FC7" w:rsidP="004C52AF">
      <w:pPr>
        <w:jc w:val="both"/>
        <w:rPr>
          <w:rFonts w:eastAsia="Times New Roman" w:cstheme="minorHAnsi"/>
          <w:b/>
          <w:bCs/>
          <w:iCs/>
          <w:sz w:val="24"/>
          <w:szCs w:val="24"/>
          <w:u w:val="single"/>
          <w:lang w:val="pl"/>
        </w:rPr>
      </w:pPr>
    </w:p>
    <w:p w14:paraId="408E468C" w14:textId="6E0477D8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/>
          <w:bCs/>
          <w:iCs/>
          <w:sz w:val="24"/>
          <w:szCs w:val="24"/>
          <w:u w:val="single"/>
          <w:lang w:val="pl"/>
        </w:rPr>
      </w:pPr>
      <w:r w:rsidRPr="004C52AF">
        <w:rPr>
          <w:rFonts w:eastAsia="Times New Roman" w:cstheme="minorHAnsi"/>
          <w:b/>
          <w:bCs/>
          <w:iCs/>
          <w:sz w:val="24"/>
          <w:szCs w:val="24"/>
          <w:u w:val="single"/>
          <w:lang w:val="pl"/>
        </w:rPr>
        <w:t>UWAGA: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Nazwy </w:t>
      </w:r>
      <w:proofErr w:type="spellStart"/>
      <w:r w:rsidR="00530FC7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CP</w:t>
      </w:r>
      <w:r w:rsidR="00A3778C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s</w:t>
      </w:r>
      <w:proofErr w:type="spellEnd"/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 w tej symulacji </w:t>
      </w:r>
      <w:r w:rsidR="00A3778C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zostały użyte tylko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 dla lepszego zrozumienia przykładów. </w:t>
      </w:r>
      <w:r w:rsidR="00885EA5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N</w:t>
      </w:r>
      <w:r w:rsidR="00A3778C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ie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 odzwierciedla </w:t>
      </w:r>
      <w:r w:rsidR="00885EA5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ona 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rzeczywistych możliwości kumulacji.</w:t>
      </w:r>
    </w:p>
    <w:p w14:paraId="2D354BD7" w14:textId="27871AED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Przykłady jak czytać </w:t>
      </w:r>
      <w:r w:rsidR="00885EA5">
        <w:rPr>
          <w:rFonts w:eastAsia="Times New Roman" w:cstheme="minorHAnsi"/>
          <w:bCs/>
          <w:iCs/>
          <w:sz w:val="24"/>
          <w:szCs w:val="24"/>
          <w:lang w:val="pl"/>
        </w:rPr>
        <w:t xml:space="preserve">tę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tabel</w:t>
      </w:r>
      <w:r w:rsidR="00885EA5">
        <w:rPr>
          <w:rFonts w:eastAsia="Times New Roman" w:cstheme="minorHAnsi"/>
          <w:bCs/>
          <w:iCs/>
          <w:sz w:val="24"/>
          <w:szCs w:val="24"/>
          <w:lang w:val="pl"/>
        </w:rPr>
        <w:t>k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ę:</w:t>
      </w:r>
    </w:p>
    <w:p w14:paraId="70AB4EEB" w14:textId="2D5FE857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UE i EFTA stosują między sobą oba zestawy </w:t>
      </w:r>
      <w:r w:rsidR="007A4D21" w:rsidRPr="003E2AD8">
        <w:rPr>
          <w:rFonts w:eastAsia="Times New Roman" w:cstheme="minorHAnsi"/>
          <w:bCs/>
          <w:i/>
          <w:sz w:val="24"/>
          <w:szCs w:val="24"/>
          <w:lang w:val="pl"/>
        </w:rPr>
        <w:t>reguł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– 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 xml:space="preserve">kod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status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>u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CR – ponieważ stosują przepisy przejściowe wprowadzone </w:t>
      </w:r>
      <w:r w:rsidR="007A4D21" w:rsidRPr="003E2AD8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ecyzją </w:t>
      </w:r>
      <w:r w:rsidR="00694994"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/2024.</w:t>
      </w:r>
    </w:p>
    <w:p w14:paraId="76FF8913" w14:textId="4DA7D5CE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Egipt stosuje jedynie </w:t>
      </w:r>
      <w:r w:rsidR="007A4D21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reguły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z 2023 r. w odniesieniu do UE – 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 xml:space="preserve">kod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status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>u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R – ponieważ Egipt nie stosuje jeszcze przepisów przejściowych wprowadzonych </w:t>
      </w:r>
      <w:r w:rsidR="007A4D21" w:rsidRPr="003E2AD8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ecyzją </w:t>
      </w:r>
      <w:r w:rsidR="00694994"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/2024.</w:t>
      </w:r>
    </w:p>
    <w:p w14:paraId="443A99E9" w14:textId="3AC231BA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Tunezja może stosować </w:t>
      </w:r>
      <w:r w:rsidR="00E76C6E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wyłącznie reguły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z 2012 r.</w:t>
      </w:r>
      <w:r w:rsidR="00E76C6E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w odniesieniu do wszystkich pozostałych stron</w:t>
      </w:r>
      <w:r w:rsidR="00E76C6E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 (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UE, EFTA i Egipt</w:t>
      </w:r>
      <w:r w:rsidR="00E76C6E" w:rsidRPr="003E2AD8">
        <w:rPr>
          <w:rFonts w:eastAsia="Times New Roman" w:cstheme="minorHAnsi"/>
          <w:bCs/>
          <w:i/>
          <w:sz w:val="24"/>
          <w:szCs w:val="24"/>
          <w:lang w:val="pl"/>
        </w:rPr>
        <w:t>)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, ze względu na 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 xml:space="preserve">kod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status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>u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C we wszystkich umowach dwustronnych.</w:t>
      </w:r>
    </w:p>
    <w:p w14:paraId="172F4ACD" w14:textId="77245B0A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UE, EFTA i Tunezja mogą 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 xml:space="preserve">więc </w:t>
      </w:r>
      <w:r w:rsidR="00E76C6E" w:rsidRPr="003E2AD8">
        <w:rPr>
          <w:rFonts w:eastAsia="Times New Roman" w:cstheme="minorHAnsi"/>
          <w:bCs/>
          <w:i/>
          <w:sz w:val="24"/>
          <w:szCs w:val="24"/>
          <w:lang w:val="pl"/>
        </w:rPr>
        <w:t>stosować kumulację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zgodnie z </w:t>
      </w:r>
      <w:r w:rsidR="00E76C6E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regułami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z 2012 r. – status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C.</w:t>
      </w:r>
    </w:p>
    <w:p w14:paraId="0C555512" w14:textId="5CC0D10B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EFTA, Egipt i Tunezja mogą </w:t>
      </w:r>
      <w:r w:rsidR="00823F21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stosować kumulację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zgodnie z </w:t>
      </w:r>
      <w:r w:rsidR="00823F21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regułami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z 2012 r. – status C.</w:t>
      </w:r>
    </w:p>
    <w:p w14:paraId="40AD48AA" w14:textId="148D359D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UE i Egipt mogą </w:t>
      </w:r>
      <w:r w:rsidR="00885EA5">
        <w:rPr>
          <w:rFonts w:eastAsia="Times New Roman" w:cstheme="minorHAnsi"/>
          <w:bCs/>
          <w:i/>
          <w:sz w:val="24"/>
          <w:szCs w:val="24"/>
          <w:lang w:val="pl"/>
        </w:rPr>
        <w:t xml:space="preserve">natomiast </w:t>
      </w:r>
      <w:r w:rsidR="00823F21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stosować kumulację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wyłącznie zgodnie z </w:t>
      </w:r>
      <w:r w:rsidR="00823F21" w:rsidRPr="003E2AD8">
        <w:rPr>
          <w:rFonts w:eastAsia="Times New Roman" w:cstheme="minorHAnsi"/>
          <w:bCs/>
          <w:i/>
          <w:sz w:val="24"/>
          <w:szCs w:val="24"/>
          <w:lang w:val="pl"/>
        </w:rPr>
        <w:t>regułami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z 2023 r. – status R, ponieważ Egipt nie stosuje jeszcze przepisów przejściowych wprowadzonych </w:t>
      </w:r>
      <w:r w:rsidR="00823F21" w:rsidRPr="003E2AD8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ecyzją </w:t>
      </w:r>
      <w:r w:rsidR="00694994"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/2024.</w:t>
      </w:r>
    </w:p>
    <w:p w14:paraId="52C97347" w14:textId="44EDED62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EFTA i UE mogą </w:t>
      </w:r>
      <w:r w:rsidR="00823F21" w:rsidRPr="003E2AD8">
        <w:rPr>
          <w:rFonts w:eastAsia="Times New Roman" w:cstheme="minorHAnsi"/>
          <w:bCs/>
          <w:i/>
          <w:sz w:val="24"/>
          <w:szCs w:val="24"/>
          <w:lang w:val="pl"/>
        </w:rPr>
        <w:t>stosować kumulację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z materiałami pochodzącymi z Egiptu na podstawi</w:t>
      </w:r>
      <w:r w:rsidR="00823F21"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e reguł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z 2023 r., stosując </w:t>
      </w:r>
      <w:r w:rsidR="00823F21" w:rsidRPr="003E2AD8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ecyzję </w:t>
      </w:r>
      <w:r w:rsidR="00694994"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/2024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15585C9D" w14:textId="54E93E10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u w:val="single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Praktyczne przykłady z pr</w:t>
      </w:r>
      <w:r w:rsidR="00295C5C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zenikalnością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:</w:t>
      </w:r>
    </w:p>
    <w:p w14:paraId="79B06714" w14:textId="33BFEB1B" w:rsidR="004C52AF" w:rsidRPr="00D3545F" w:rsidRDefault="004C52AF" w:rsidP="00D3545F">
      <w:pPr>
        <w:pStyle w:val="Akapitzlist"/>
        <w:numPr>
          <w:ilvl w:val="0"/>
          <w:numId w:val="42"/>
        </w:num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UE i EFTA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>,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które mają w swoich relacjach status CR,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mogą wykorzystywać towary pochodzące z Tunezji lub Egiptu (klasyfikowane w</w:t>
      </w:r>
      <w:r w:rsidR="00885EA5" w:rsidRPr="00D3545F"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działach </w:t>
      </w:r>
      <w:r w:rsidR="00885EA5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HS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1, 3, 16 </w:t>
      </w:r>
      <w:r w:rsidR="00885EA5" w:rsidRPr="00D3545F">
        <w:rPr>
          <w:rFonts w:eastAsia="Times New Roman" w:cstheme="minorHAnsi"/>
          <w:bCs/>
          <w:i/>
          <w:sz w:val="24"/>
          <w:szCs w:val="24"/>
          <w:lang w:val="pl"/>
        </w:rPr>
        <w:t>(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w odniesieniu do przetworzonych produktów rybołówstwa</w:t>
      </w:r>
      <w:r w:rsidR="00885EA5" w:rsidRPr="00D3545F">
        <w:rPr>
          <w:rFonts w:eastAsia="Times New Roman" w:cstheme="minorHAnsi"/>
          <w:bCs/>
          <w:i/>
          <w:sz w:val="24"/>
          <w:szCs w:val="24"/>
          <w:lang w:val="pl"/>
        </w:rPr>
        <w:t>)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oraz </w:t>
      </w:r>
      <w:r w:rsidR="00885EA5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HS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25–97) i </w:t>
      </w:r>
      <w:r w:rsidR="003E2AD8" w:rsidRPr="00D3545F">
        <w:rPr>
          <w:rFonts w:eastAsia="Times New Roman" w:cstheme="minorHAnsi"/>
          <w:bCs/>
          <w:i/>
          <w:sz w:val="24"/>
          <w:szCs w:val="24"/>
          <w:lang w:val="pl"/>
        </w:rPr>
        <w:t>stosować kumulację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zgodnie z regułami z 2023 r., stosując zasadę prze</w:t>
      </w:r>
      <w:r w:rsidR="00295C5C" w:rsidRPr="00D3545F">
        <w:rPr>
          <w:rFonts w:eastAsia="Times New Roman" w:cstheme="minorHAnsi"/>
          <w:bCs/>
          <w:i/>
          <w:sz w:val="24"/>
          <w:szCs w:val="24"/>
          <w:lang w:val="pl"/>
        </w:rPr>
        <w:t>nikalności.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Chociaż EFTA i Egipt mają 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w swoich dwustronnych relacjach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jedynie</w:t>
      </w:r>
      <w:r w:rsidRPr="00D3545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status C, kumulacja na podstawie reguł z 2023 r. może mieć miejsce, gdy materiały pochodzące z Egiptu na podstawie reguł z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2012 r. są wykorzystywane do 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wytworzenia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produk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>tów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pochodzących z EFTA na podstawie reguł z 2023 r.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przy ich wywozie do UE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, ponieważ koncepcja prze</w:t>
      </w:r>
      <w:r w:rsidR="00295C5C" w:rsidRPr="00D3545F">
        <w:rPr>
          <w:rFonts w:eastAsia="Times New Roman" w:cstheme="minorHAnsi"/>
          <w:bCs/>
          <w:i/>
          <w:sz w:val="24"/>
          <w:szCs w:val="24"/>
          <w:lang w:val="pl"/>
        </w:rPr>
        <w:t>nikalności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jest stosowana między EFTA a UE zgodnie z przepisem przejściowym </w:t>
      </w:r>
      <w:r w:rsidR="003E2AD8" w:rsidRPr="00D3545F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ecyzji </w:t>
      </w:r>
      <w:r w:rsidR="00D34035" w:rsidRPr="00D3545F"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/2024.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lastRenderedPageBreak/>
        <w:t xml:space="preserve">Jeżeli jednak produkty są wywożone 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powrotnie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z UE do EFTA, wówczas z EFTA nie mogą być już wywożone do Egiptu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>,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ani </w:t>
      </w:r>
      <w:r w:rsidR="00BF0E70" w:rsidRPr="00D3545F">
        <w:rPr>
          <w:rFonts w:eastAsia="Times New Roman" w:cstheme="minorHAnsi"/>
          <w:bCs/>
          <w:i/>
          <w:sz w:val="24"/>
          <w:szCs w:val="24"/>
          <w:lang w:val="pl"/>
        </w:rPr>
        <w:t>pod</w:t>
      </w:r>
      <w:r w:rsidR="00427EC5" w:rsidRPr="00D3545F">
        <w:rPr>
          <w:rFonts w:eastAsia="Times New Roman" w:cstheme="minorHAnsi"/>
          <w:bCs/>
          <w:i/>
          <w:sz w:val="24"/>
          <w:szCs w:val="24"/>
          <w:lang w:val="pl"/>
        </w:rPr>
        <w:t>legać</w:t>
      </w:r>
      <w:r w:rsidR="00BF0E70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kumulacji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w Egipcie zgodnie z </w:t>
      </w:r>
      <w:r w:rsidR="003E2AD8" w:rsidRPr="00D3545F">
        <w:rPr>
          <w:rFonts w:eastAsia="Times New Roman" w:cstheme="minorHAnsi"/>
          <w:bCs/>
          <w:i/>
          <w:sz w:val="24"/>
          <w:szCs w:val="24"/>
          <w:lang w:val="pl"/>
        </w:rPr>
        <w:t>regułami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z 2012 r., które są jedynymi </w:t>
      </w:r>
      <w:r w:rsidR="003E2AD8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regułami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mającymi zastosowanie między EFTA 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>i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Egiptem.</w:t>
      </w:r>
    </w:p>
    <w:p w14:paraId="21E0F2B3" w14:textId="77777777" w:rsidR="004C52AF" w:rsidRPr="004C52AF" w:rsidRDefault="004C52AF" w:rsidP="004C52AF">
      <w:pPr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4DCB9392" w14:textId="199A601B" w:rsidR="004C52AF" w:rsidRPr="00D3545F" w:rsidRDefault="00BF0E70" w:rsidP="00D3545F">
      <w:pPr>
        <w:pStyle w:val="Akapitzlist"/>
        <w:numPr>
          <w:ilvl w:val="0"/>
          <w:numId w:val="42"/>
        </w:num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Podmiot unijny 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może przywozić 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do przetworzenia 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>materiały pochodzące z Tunezji zgodnie z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regułami z 2012 r. 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(relacje UE z Tunezją mają 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>status C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>)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. Materiały 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>te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mogą być wykorzystywane do celów kumulacji w UE na podstawie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reguł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z 2023 r. opartych na prze</w:t>
      </w:r>
      <w:r w:rsidR="00295C5C" w:rsidRPr="00D3545F">
        <w:rPr>
          <w:rFonts w:eastAsia="Times New Roman" w:cstheme="minorHAnsi"/>
          <w:bCs/>
          <w:i/>
          <w:sz w:val="24"/>
          <w:szCs w:val="24"/>
          <w:lang w:val="pl"/>
        </w:rPr>
        <w:t>nikalności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>, a następnie wywożone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do EFTA, gdzie mogą być dalej wykorzystywane przy kumulacji pochodzenia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. Dalsza kumulacja z Egiptem nie jest 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już 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jednak możliwa, ponieważ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ecyzja </w:t>
      </w:r>
      <w:r w:rsidR="00D34035" w:rsidRPr="00D3545F"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/2024 nie ma zastosowania między UE 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>i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Egiptem. Produkty nie mogą być wywożone do Tunezji ani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poddawane</w:t>
      </w:r>
      <w:r w:rsidR="008B0841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tam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kumulacji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na podstawie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reguł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z 2012 r., które są jedynym zbiorem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reguł</w:t>
      </w:r>
      <w:r w:rsidR="004C52AF"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 mających zastosowanie między Tunezją a pozostałymi państwami.</w:t>
      </w:r>
    </w:p>
    <w:p w14:paraId="3E6AC6C2" w14:textId="677B6968" w:rsidR="00D34035" w:rsidRDefault="00D34035">
      <w:pPr>
        <w:rPr>
          <w:rFonts w:eastAsia="Times New Roman" w:cstheme="minorHAnsi"/>
          <w:iCs/>
          <w:sz w:val="24"/>
          <w:szCs w:val="24"/>
          <w:lang w:val="pl"/>
        </w:rPr>
      </w:pPr>
    </w:p>
    <w:p w14:paraId="0326A16F" w14:textId="490F1B5D" w:rsidR="004C52AF" w:rsidRPr="00D34035" w:rsidRDefault="00ED5554" w:rsidP="00CB3599">
      <w:pPr>
        <w:spacing w:before="120" w:after="120"/>
        <w:jc w:val="both"/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</w:pP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6</w:t>
      </w:r>
      <w:r w:rsidR="004C52AF"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 xml:space="preserve">. </w:t>
      </w:r>
      <w:r w:rsidR="00B52E08"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P</w:t>
      </w:r>
      <w:r w:rsid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ODSUMOWANIE</w:t>
      </w:r>
      <w:r w:rsidR="00B52E08"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 xml:space="preserve"> </w:t>
      </w:r>
      <w:r w:rsid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DOTYCZĄCE</w:t>
      </w:r>
      <w:r w:rsidR="004C52AF"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 xml:space="preserve"> </w:t>
      </w:r>
      <w:r w:rsid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DOWODÓW</w:t>
      </w:r>
      <w:r w:rsidR="004C52AF"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 xml:space="preserve"> </w:t>
      </w:r>
      <w:r w:rsid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POCHODZENIA</w:t>
      </w:r>
    </w:p>
    <w:p w14:paraId="7C0BBF51" w14:textId="743A4CF1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Wykaz dowodów pochodzenia, które po wy</w:t>
      </w:r>
      <w:r w:rsidR="00B52E08">
        <w:rPr>
          <w:rFonts w:eastAsia="Times New Roman" w:cstheme="minorHAnsi"/>
          <w:bCs/>
          <w:iCs/>
          <w:sz w:val="24"/>
          <w:szCs w:val="24"/>
          <w:lang w:val="pl"/>
        </w:rPr>
        <w:t>stawieniu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lub sporządzeniu zgodnie z mającymi zastosowanie ramami prawnymi z 2024 r. będą akceptowane w 2025 r. w okresie ich ważności:</w:t>
      </w:r>
    </w:p>
    <w:p w14:paraId="69B775C5" w14:textId="10E84A85" w:rsidR="004C52AF" w:rsidRPr="004C52AF" w:rsidRDefault="00B52E08" w:rsidP="00CB3599">
      <w:pPr>
        <w:numPr>
          <w:ilvl w:val="0"/>
          <w:numId w:val="40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Ś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wiadectwa EUR.1 wystawione i deklaracje pochodzenia sporządzone zgodnie z regułami z 2012 r. lub starymi protokołami PEM (akceptowane w </w:t>
      </w:r>
      <w:r w:rsidR="008B0841"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C)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3E2DF456" w14:textId="3A7F7FD2" w:rsidR="004C52AF" w:rsidRPr="004C52AF" w:rsidRDefault="004C52AF" w:rsidP="00CB3599">
      <w:pPr>
        <w:numPr>
          <w:ilvl w:val="0"/>
          <w:numId w:val="40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Wystawione świadectwa EUR-MED i deklaracje pochodzenia EUR-MED sporządzone zgodnie z regułami z 2012 r. lub starymi protokołami PEM (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akceptowane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w 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C)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0403650E" w14:textId="48577B46" w:rsidR="004C52AF" w:rsidRPr="004C52AF" w:rsidRDefault="004C52AF" w:rsidP="00CB3599">
      <w:pPr>
        <w:numPr>
          <w:ilvl w:val="0"/>
          <w:numId w:val="40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Świadectwa EUR.1 wystawione i deklaracje pochodzenia sporządzone w ramach przejściowych reguł pochodzenia (akceptowane w 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R)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11488D73" w14:textId="5C47C3EE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Wykaz dowodów pochodzenia, które po wy</w:t>
      </w:r>
      <w:r w:rsidR="00B52E08">
        <w:rPr>
          <w:rFonts w:eastAsia="Times New Roman" w:cstheme="minorHAnsi"/>
          <w:bCs/>
          <w:iCs/>
          <w:sz w:val="24"/>
          <w:szCs w:val="24"/>
          <w:lang w:val="pl"/>
        </w:rPr>
        <w:t xml:space="preserve">stawieniu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lub sporządzeniu zgodnie z mającymi zastosowanie ramami prawnymi z 2025 r. będą akceptowane w 2025 r. i 2026 r. w okresie ich ważności:</w:t>
      </w:r>
    </w:p>
    <w:p w14:paraId="27673392" w14:textId="5B3A039B" w:rsidR="004C52AF" w:rsidRPr="004C52AF" w:rsidRDefault="00B52E08" w:rsidP="00CB3599">
      <w:pPr>
        <w:numPr>
          <w:ilvl w:val="0"/>
          <w:numId w:val="40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Ś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wiadectwa EUR.1 wystawione i deklaracje pochodzenia sporządzone zgodnie z regułami z 2012 r. lub starymi protokołami PEM (akceptowane w 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="004C52AF"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C)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3D3223C2" w14:textId="5F6291CB" w:rsidR="004C52AF" w:rsidRPr="004C52AF" w:rsidRDefault="004C52AF" w:rsidP="00CB3599">
      <w:pPr>
        <w:numPr>
          <w:ilvl w:val="0"/>
          <w:numId w:val="40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Wystawione świadectwa EUR-MED i deklaracje pochodzenia EUR-MED sporządzone zgodnie z regułami z 2012 r. lub starymi protokołami PEM (akceptowane w 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C)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47929A66" w14:textId="028A9667" w:rsidR="004C52AF" w:rsidRPr="004C52AF" w:rsidRDefault="004C52AF" w:rsidP="00CB3599">
      <w:pPr>
        <w:numPr>
          <w:ilvl w:val="0"/>
          <w:numId w:val="40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świadectwa EUR.1 wystawione i deklaracje pochodzenia sporządzone w ramach </w:t>
      </w:r>
      <w:r w:rsidR="00B52E08">
        <w:rPr>
          <w:rFonts w:eastAsia="Times New Roman" w:cstheme="minorHAnsi"/>
          <w:bCs/>
          <w:iCs/>
          <w:sz w:val="24"/>
          <w:szCs w:val="24"/>
          <w:lang w:val="pl"/>
        </w:rPr>
        <w:t xml:space="preserve">reguł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z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2023 r., zawierające 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zapis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„REVISED RULES” (akceptowane w 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ów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CR i R)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5E3A1B7C" w14:textId="795B7D34" w:rsidR="004C52AF" w:rsidRPr="004C52AF" w:rsidRDefault="004C52AF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Wykaz dowodów pochodzenia, które mogą być wy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korzystywane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zgodnie z mającymi zastosowanie ramami prawnymi od dnia 1 stycznia 2026 r.:</w:t>
      </w:r>
    </w:p>
    <w:p w14:paraId="1C39DB27" w14:textId="27FE423A" w:rsidR="00BD1E09" w:rsidRDefault="004C52AF" w:rsidP="00CB3599">
      <w:pPr>
        <w:numPr>
          <w:ilvl w:val="0"/>
          <w:numId w:val="40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lastRenderedPageBreak/>
        <w:t xml:space="preserve">świadectwa EUR.1 wystawione i deklaracje pochodzenia sporządzone na podstawie </w:t>
      </w:r>
      <w:r w:rsidR="00B52E08">
        <w:rPr>
          <w:rFonts w:eastAsia="Times New Roman" w:cstheme="minorHAnsi"/>
          <w:bCs/>
          <w:iCs/>
          <w:sz w:val="24"/>
          <w:szCs w:val="24"/>
          <w:lang w:val="pl"/>
        </w:rPr>
        <w:t xml:space="preserve">reguł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z 2023 r., które nie powinny już zawierać </w:t>
      </w:r>
      <w:r w:rsidR="00D34035">
        <w:rPr>
          <w:rFonts w:eastAsia="Times New Roman" w:cstheme="minorHAnsi"/>
          <w:bCs/>
          <w:iCs/>
          <w:sz w:val="24"/>
          <w:szCs w:val="24"/>
          <w:lang w:val="pl"/>
        </w:rPr>
        <w:t>zapisu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„</w:t>
      </w:r>
      <w:r w:rsidR="00B52E08">
        <w:rPr>
          <w:rFonts w:eastAsia="Times New Roman" w:cstheme="minorHAnsi"/>
          <w:bCs/>
          <w:iCs/>
          <w:sz w:val="24"/>
          <w:szCs w:val="24"/>
          <w:lang w:val="pl"/>
        </w:rPr>
        <w:t>REVISED RULES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”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335AEE16" w14:textId="426C8BF2" w:rsidR="003A215E" w:rsidRDefault="003A215E" w:rsidP="003A215E">
      <w:pPr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6D272F4C" w14:textId="61D3871B" w:rsidR="003A215E" w:rsidRPr="00D34035" w:rsidRDefault="003A215E" w:rsidP="003A215E">
      <w:pPr>
        <w:jc w:val="both"/>
        <w:rPr>
          <w:rFonts w:eastAsia="Times New Roman" w:cstheme="minorHAnsi"/>
          <w:b/>
          <w:bCs/>
          <w:iCs/>
          <w:color w:val="FF0000"/>
          <w:sz w:val="28"/>
          <w:szCs w:val="28"/>
          <w:lang w:val="pl-PL"/>
        </w:rPr>
      </w:pPr>
      <w:r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-PL"/>
        </w:rPr>
        <w:t>6. KODY DOKUMENTÓW - stosowane w zgłoszeniach celnych</w:t>
      </w:r>
    </w:p>
    <w:p w14:paraId="54084B1B" w14:textId="0FBF70D8" w:rsidR="00BC37C4" w:rsidRPr="00BC37C4" w:rsidRDefault="00BC37C4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W związku ze stosowaniem przepisów przejściowych w TARIC utworzono dwa nowe kody dokumentów, które obowiąz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u</w:t>
      </w:r>
      <w:r w:rsidR="00B5726F">
        <w:rPr>
          <w:rFonts w:eastAsia="Times New Roman" w:cstheme="minorHAnsi"/>
          <w:bCs/>
          <w:iCs/>
          <w:sz w:val="24"/>
          <w:szCs w:val="24"/>
          <w:lang w:val="pl"/>
        </w:rPr>
        <w:t>j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ą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 od dnia 1 stycznia 2025 r.:</w:t>
      </w:r>
    </w:p>
    <w:p w14:paraId="7FD8751B" w14:textId="40A1AA01" w:rsidR="00BC37C4" w:rsidRPr="00BC37C4" w:rsidRDefault="00BC37C4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BC37C4">
        <w:rPr>
          <w:rFonts w:eastAsia="Times New Roman" w:cstheme="minorHAnsi"/>
          <w:b/>
          <w:bCs/>
          <w:iCs/>
          <w:sz w:val="24"/>
          <w:szCs w:val="24"/>
          <w:lang w:val="pl"/>
        </w:rPr>
        <w:t xml:space="preserve">U078 = </w:t>
      </w:r>
      <w:r w:rsidRPr="00DA333D">
        <w:rPr>
          <w:rFonts w:eastAsia="Times New Roman" w:cstheme="minorHAnsi"/>
          <w:iCs/>
          <w:sz w:val="24"/>
          <w:szCs w:val="24"/>
          <w:lang w:val="pl"/>
        </w:rPr>
        <w:t>„</w:t>
      </w:r>
      <w:r w:rsidR="00DA333D">
        <w:rPr>
          <w:rFonts w:eastAsia="Times New Roman" w:cstheme="minorHAnsi"/>
          <w:iCs/>
          <w:sz w:val="24"/>
          <w:szCs w:val="24"/>
          <w:lang w:val="pl"/>
        </w:rPr>
        <w:t>ś</w:t>
      </w:r>
      <w:r w:rsidRPr="00DA333D">
        <w:rPr>
          <w:rFonts w:eastAsia="Times New Roman" w:cstheme="minorHAnsi"/>
          <w:iCs/>
          <w:sz w:val="24"/>
          <w:szCs w:val="24"/>
          <w:lang w:val="pl"/>
        </w:rPr>
        <w:t>wiadectwo</w:t>
      </w:r>
      <w:r>
        <w:rPr>
          <w:rFonts w:eastAsia="Times New Roman" w:cstheme="minorHAnsi"/>
          <w:b/>
          <w:bCs/>
          <w:iCs/>
          <w:sz w:val="24"/>
          <w:szCs w:val="24"/>
          <w:lang w:val="pl"/>
        </w:rPr>
        <w:t xml:space="preserve"> 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przewozowe EUR.1 zawierające w polu 7 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zapis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 w języku angielskim: „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REVISED RULES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”</w:t>
      </w:r>
    </w:p>
    <w:p w14:paraId="2E117C01" w14:textId="1B4D785C" w:rsidR="00BC37C4" w:rsidRPr="00BC37C4" w:rsidRDefault="00BC37C4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BC37C4">
        <w:rPr>
          <w:rFonts w:eastAsia="Times New Roman" w:cstheme="minorHAnsi"/>
          <w:b/>
          <w:bCs/>
          <w:iCs/>
          <w:sz w:val="24"/>
          <w:szCs w:val="24"/>
          <w:lang w:val="pl"/>
        </w:rPr>
        <w:t xml:space="preserve">U079 = </w:t>
      </w:r>
      <w:r w:rsidRPr="00DA333D">
        <w:rPr>
          <w:rFonts w:eastAsia="Times New Roman" w:cstheme="minorHAnsi"/>
          <w:iCs/>
          <w:sz w:val="24"/>
          <w:szCs w:val="24"/>
          <w:lang w:val="pl"/>
        </w:rPr>
        <w:t>„</w:t>
      </w:r>
      <w:r w:rsidR="00DA333D">
        <w:rPr>
          <w:rFonts w:eastAsia="Times New Roman" w:cstheme="minorHAnsi"/>
          <w:iCs/>
          <w:sz w:val="24"/>
          <w:szCs w:val="24"/>
          <w:lang w:val="pl"/>
        </w:rPr>
        <w:t>d</w:t>
      </w:r>
      <w:r w:rsidRPr="00DA333D">
        <w:rPr>
          <w:rFonts w:eastAsia="Times New Roman" w:cstheme="minorHAnsi"/>
          <w:iCs/>
          <w:sz w:val="24"/>
          <w:szCs w:val="24"/>
          <w:lang w:val="pl"/>
        </w:rPr>
        <w:t>eklaracja</w:t>
      </w:r>
      <w:r>
        <w:rPr>
          <w:rFonts w:eastAsia="Times New Roman" w:cstheme="minorHAnsi"/>
          <w:b/>
          <w:bCs/>
          <w:iCs/>
          <w:sz w:val="24"/>
          <w:szCs w:val="24"/>
          <w:lang w:val="pl"/>
        </w:rPr>
        <w:t xml:space="preserve"> 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pochodzenia zawierająca </w:t>
      </w:r>
      <w:r w:rsidR="00DA333D" w:rsidRPr="00BC37C4">
        <w:rPr>
          <w:rFonts w:eastAsia="Times New Roman" w:cstheme="minorHAnsi"/>
          <w:bCs/>
          <w:iCs/>
          <w:sz w:val="24"/>
          <w:szCs w:val="24"/>
          <w:lang w:val="pl"/>
        </w:rPr>
        <w:t>po tekście deklaracji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 zapis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 w języku angielskim: „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REVISED RULES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”</w:t>
      </w:r>
    </w:p>
    <w:p w14:paraId="5941A777" w14:textId="3443B45F" w:rsidR="003A215E" w:rsidRPr="00BC37C4" w:rsidRDefault="00BC37C4" w:rsidP="00CB3599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Kod deklaracji pochodzenia stosuje się niezależnie od</w:t>
      </w:r>
      <w:r w:rsidR="00C92756">
        <w:rPr>
          <w:rFonts w:eastAsia="Times New Roman" w:cstheme="minorHAnsi"/>
          <w:bCs/>
          <w:iCs/>
          <w:sz w:val="24"/>
          <w:szCs w:val="24"/>
          <w:lang w:val="pl"/>
        </w:rPr>
        <w:t xml:space="preserve"> wartości 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przesyłki 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>i statusu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 eksportera</w:t>
      </w:r>
      <w:r w:rsidR="00DA333D">
        <w:rPr>
          <w:rFonts w:eastAsia="Times New Roman" w:cstheme="minorHAnsi"/>
          <w:bCs/>
          <w:iCs/>
          <w:sz w:val="24"/>
          <w:szCs w:val="24"/>
          <w:lang w:val="pl"/>
        </w:rPr>
        <w:t xml:space="preserve"> (zarówno eksporterzy posiadający status „upoważnionego eksportera” jak i nieposiadający takiego statusu)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sectPr w:rsidR="003A215E" w:rsidRPr="00BC37C4" w:rsidSect="00AE0E30">
      <w:footerReference w:type="defaul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0E97" w14:textId="77777777" w:rsidR="00906140" w:rsidRDefault="00906140" w:rsidP="001A6C6A">
      <w:pPr>
        <w:spacing w:after="0" w:line="240" w:lineRule="auto"/>
      </w:pPr>
      <w:r>
        <w:separator/>
      </w:r>
    </w:p>
  </w:endnote>
  <w:endnote w:type="continuationSeparator" w:id="0">
    <w:p w14:paraId="225C2A96" w14:textId="77777777" w:rsidR="00906140" w:rsidRDefault="00906140" w:rsidP="001A6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 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ECD8" w14:textId="77777777" w:rsidR="00DA7814" w:rsidRDefault="00DA7814">
    <w:pPr>
      <w:spacing w:line="1" w:lineRule="exact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DD8BA23" wp14:editId="2E69B38C">
              <wp:simplePos x="0" y="0"/>
              <wp:positionH relativeFrom="page">
                <wp:posOffset>3740150</wp:posOffset>
              </wp:positionH>
              <wp:positionV relativeFrom="page">
                <wp:posOffset>9929495</wp:posOffset>
              </wp:positionV>
              <wp:extent cx="85090" cy="69850"/>
              <wp:effectExtent l="0" t="0" r="0" b="0"/>
              <wp:wrapNone/>
              <wp:docPr id="5" name="Kształ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E97AE25" w14:textId="77777777" w:rsidR="00DA7814" w:rsidRDefault="00DA7814">
                          <w:pPr>
                            <w:pStyle w:val="Headerorfooter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93C17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D8BA23" id="_x0000_t202" coordsize="21600,21600" o:spt="202" path="m,l,21600r21600,l21600,xe">
              <v:stroke joinstyle="miter"/>
              <v:path gradientshapeok="t" o:connecttype="rect"/>
            </v:shapetype>
            <v:shape id="Kształt 8" o:spid="_x0000_s1026" type="#_x0000_t202" style="position:absolute;margin-left:294.5pt;margin-top:781.85pt;width:6.7pt;height:5.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" filled="f" stroked="f">
              <v:textbox style="mso-fit-shape-to-text:t" inset="0,0,0,0">
                <w:txbxContent>
                  <w:p w14:paraId="3E97AE25" w14:textId="77777777" w:rsidR="00DA7814" w:rsidRDefault="00DA7814">
                    <w:pPr>
                      <w:pStyle w:val="Headerorfooter20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C93C17"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21EAF" w14:textId="77777777" w:rsidR="00DA7814" w:rsidRDefault="00DA7814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84194" w14:textId="77777777" w:rsidR="00906140" w:rsidRDefault="00906140" w:rsidP="001A6C6A">
      <w:pPr>
        <w:spacing w:after="0" w:line="240" w:lineRule="auto"/>
      </w:pPr>
      <w:r>
        <w:separator/>
      </w:r>
    </w:p>
  </w:footnote>
  <w:footnote w:type="continuationSeparator" w:id="0">
    <w:p w14:paraId="32F9B07B" w14:textId="77777777" w:rsidR="00906140" w:rsidRDefault="00906140" w:rsidP="001A6C6A">
      <w:pPr>
        <w:spacing w:after="0" w:line="240" w:lineRule="auto"/>
      </w:pPr>
      <w:r>
        <w:continuationSeparator/>
      </w:r>
    </w:p>
  </w:footnote>
  <w:footnote w:id="1">
    <w:p w14:paraId="383600A3" w14:textId="7C566EBD" w:rsidR="006C674F" w:rsidRPr="006C674F" w:rsidRDefault="006C674F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E280D">
        <w:rPr>
          <w:lang w:val="pl-PL"/>
        </w:rPr>
        <w:t xml:space="preserve"> </w:t>
      </w:r>
      <w:r w:rsidR="003E280D" w:rsidRPr="003E280D">
        <w:rPr>
          <w:lang w:val="pl-PL"/>
        </w:rPr>
        <w:t xml:space="preserve">Decyzja nr 1/2023 Wspólnego Komitetu Regionalnej </w:t>
      </w:r>
      <w:r w:rsidR="00807EF4">
        <w:rPr>
          <w:lang w:val="pl-PL"/>
        </w:rPr>
        <w:t>k</w:t>
      </w:r>
      <w:r w:rsidR="003E280D" w:rsidRPr="003E280D">
        <w:rPr>
          <w:lang w:val="pl-PL"/>
        </w:rPr>
        <w:t xml:space="preserve">onwencji w sprawie </w:t>
      </w:r>
      <w:r w:rsidR="00807EF4">
        <w:rPr>
          <w:lang w:val="pl-PL"/>
        </w:rPr>
        <w:t>p</w:t>
      </w:r>
      <w:r w:rsidR="003E280D" w:rsidRPr="003E280D">
        <w:rPr>
          <w:lang w:val="pl-PL"/>
        </w:rPr>
        <w:t>an</w:t>
      </w:r>
      <w:r w:rsidR="00807EF4">
        <w:rPr>
          <w:lang w:val="pl-PL"/>
        </w:rPr>
        <w:t>-</w:t>
      </w:r>
      <w:r w:rsidR="003E280D" w:rsidRPr="003E280D">
        <w:rPr>
          <w:lang w:val="pl-PL"/>
        </w:rPr>
        <w:t>euro</w:t>
      </w:r>
      <w:r w:rsidR="00807EF4">
        <w:rPr>
          <w:lang w:val="pl-PL"/>
        </w:rPr>
        <w:t>-</w:t>
      </w:r>
      <w:r w:rsidR="003E280D" w:rsidRPr="003E280D">
        <w:rPr>
          <w:lang w:val="pl-PL"/>
        </w:rPr>
        <w:t xml:space="preserve">śródziemnomorskich </w:t>
      </w:r>
      <w:r w:rsidR="00807EF4">
        <w:rPr>
          <w:lang w:val="pl-PL"/>
        </w:rPr>
        <w:t>p</w:t>
      </w:r>
      <w:r w:rsidR="003E280D" w:rsidRPr="003E280D">
        <w:rPr>
          <w:lang w:val="pl-PL"/>
        </w:rPr>
        <w:t xml:space="preserve">referencyjnych </w:t>
      </w:r>
      <w:r w:rsidR="00807EF4">
        <w:rPr>
          <w:lang w:val="pl-PL"/>
        </w:rPr>
        <w:t>r</w:t>
      </w:r>
      <w:r w:rsidR="003E280D" w:rsidRPr="003E280D">
        <w:rPr>
          <w:lang w:val="pl-PL"/>
        </w:rPr>
        <w:t xml:space="preserve">eguł </w:t>
      </w:r>
      <w:r w:rsidR="00807EF4">
        <w:rPr>
          <w:lang w:val="pl-PL"/>
        </w:rPr>
        <w:t>p</w:t>
      </w:r>
      <w:r w:rsidR="003E280D" w:rsidRPr="003E280D">
        <w:rPr>
          <w:lang w:val="pl-PL"/>
        </w:rPr>
        <w:t>ochodzenia z dnia 7 grudnia 2023 r. w sprawie zmiany Regionalnej konwencji w sprawie pan</w:t>
      </w:r>
      <w:r w:rsidR="00807EF4">
        <w:rPr>
          <w:lang w:val="pl-PL"/>
        </w:rPr>
        <w:t>-</w:t>
      </w:r>
      <w:r w:rsidR="003E280D" w:rsidRPr="003E280D">
        <w:rPr>
          <w:lang w:val="pl-PL"/>
        </w:rPr>
        <w:t>euro</w:t>
      </w:r>
      <w:r w:rsidR="00807EF4">
        <w:rPr>
          <w:lang w:val="pl-PL"/>
        </w:rPr>
        <w:t>-</w:t>
      </w:r>
      <w:r w:rsidR="003E280D" w:rsidRPr="003E280D">
        <w:rPr>
          <w:lang w:val="pl-PL"/>
        </w:rPr>
        <w:t>śródziemnomorskich preferencyjnych reguł pochodzenia</w:t>
      </w:r>
      <w:r w:rsidR="003E280D">
        <w:rPr>
          <w:lang w:val="pl-PL"/>
        </w:rPr>
        <w:t xml:space="preserve"> (</w:t>
      </w:r>
      <w:r w:rsidRPr="003E280D">
        <w:rPr>
          <w:lang w:val="pl-PL"/>
        </w:rPr>
        <w:t>Dz. Urz.  UE L 390 z 19.2.2024</w:t>
      </w:r>
      <w:r w:rsidR="003E280D">
        <w:rPr>
          <w:lang w:val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2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2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2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2"/>
      </w:rPr>
    </w:lvl>
  </w:abstractNum>
  <w:abstractNum w:abstractNumId="1" w15:restartNumberingAfterBreak="0">
    <w:nsid w:val="00000004"/>
    <w:multiLevelType w:val="multilevel"/>
    <w:tmpl w:val="00000004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5"/>
    <w:multiLevelType w:val="multilevel"/>
    <w:tmpl w:val="00000005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9"/>
    <w:multiLevelType w:val="multilevel"/>
    <w:tmpl w:val="65C46B94"/>
    <w:name w:val="WW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-1080"/>
        </w:tabs>
        <w:ind w:left="360" w:hanging="360"/>
      </w:pPr>
      <w:rPr>
        <w:rFonts w:ascii="Arial" w:hAnsi="Arial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16F1CC1"/>
    <w:multiLevelType w:val="multilevel"/>
    <w:tmpl w:val="85162C72"/>
    <w:lvl w:ilvl="0">
      <w:start w:val="1"/>
      <w:numFmt w:val="lowerLetter"/>
      <w:lvlText w:val="(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0806F9"/>
    <w:multiLevelType w:val="multilevel"/>
    <w:tmpl w:val="D2A6C51A"/>
    <w:lvl w:ilvl="0">
      <w:start w:val="1"/>
      <w:numFmt w:val="decimal"/>
      <w:lvlText w:val="%1."/>
      <w:lvlJc w:val="left"/>
      <w:rPr>
        <w:rFonts w:asciiTheme="minorHAnsi" w:eastAsia="Times New Roman" w:hAnsiTheme="minorHAnsi" w:cstheme="minorHAns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7CE0F60"/>
    <w:multiLevelType w:val="hybridMultilevel"/>
    <w:tmpl w:val="0472FBE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5702D0"/>
    <w:multiLevelType w:val="multilevel"/>
    <w:tmpl w:val="176E1F30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6E65FD"/>
    <w:multiLevelType w:val="multilevel"/>
    <w:tmpl w:val="E5929D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asciiTheme="minorHAnsi" w:hAnsiTheme="minorHAnsi" w:cstheme="minorHAnsi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Theme="minorHAnsi" w:hAnsiTheme="minorHAnsi" w:cstheme="minorHAnsi" w:hint="default"/>
        <w:b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Theme="minorHAnsi" w:hAnsiTheme="minorHAnsi" w:cstheme="minorHAnsi" w:hint="default"/>
        <w:b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Theme="minorHAnsi" w:hAnsiTheme="minorHAnsi" w:cstheme="minorHAnsi" w:hint="default"/>
        <w:b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Theme="minorHAnsi" w:hAnsiTheme="minorHAnsi" w:cstheme="minorHAnsi" w:hint="default"/>
        <w:b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asciiTheme="minorHAnsi" w:hAnsiTheme="minorHAnsi" w:cstheme="minorHAnsi" w:hint="default"/>
        <w:b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Theme="minorHAnsi" w:hAnsiTheme="minorHAnsi" w:cstheme="minorHAnsi" w:hint="default"/>
        <w:b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asciiTheme="minorHAnsi" w:hAnsiTheme="minorHAnsi" w:cstheme="minorHAnsi" w:hint="default"/>
        <w:b/>
        <w:i w:val="0"/>
        <w:sz w:val="24"/>
      </w:rPr>
    </w:lvl>
  </w:abstractNum>
  <w:abstractNum w:abstractNumId="9" w15:restartNumberingAfterBreak="0">
    <w:nsid w:val="2399541E"/>
    <w:multiLevelType w:val="multilevel"/>
    <w:tmpl w:val="B68A44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64E380B"/>
    <w:multiLevelType w:val="hybridMultilevel"/>
    <w:tmpl w:val="9D7AE450"/>
    <w:lvl w:ilvl="0" w:tplc="185A8F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42727"/>
    <w:multiLevelType w:val="multilevel"/>
    <w:tmpl w:val="718680C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71037A"/>
    <w:multiLevelType w:val="multilevel"/>
    <w:tmpl w:val="1382D22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7764B6"/>
    <w:multiLevelType w:val="multilevel"/>
    <w:tmpl w:val="B8CAC92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8D7FD3"/>
    <w:multiLevelType w:val="multilevel"/>
    <w:tmpl w:val="38AEEF2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BE44A5"/>
    <w:multiLevelType w:val="hybridMultilevel"/>
    <w:tmpl w:val="5BF8D1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1086A"/>
    <w:multiLevelType w:val="multilevel"/>
    <w:tmpl w:val="05A4BC7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555D1B"/>
    <w:multiLevelType w:val="multilevel"/>
    <w:tmpl w:val="4A9C92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4D74E25"/>
    <w:multiLevelType w:val="hybridMultilevel"/>
    <w:tmpl w:val="7FB852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61B26"/>
    <w:multiLevelType w:val="hybridMultilevel"/>
    <w:tmpl w:val="504861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E415E"/>
    <w:multiLevelType w:val="multilevel"/>
    <w:tmpl w:val="F0188F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96D5CBD"/>
    <w:multiLevelType w:val="multilevel"/>
    <w:tmpl w:val="F148E4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2A0D15"/>
    <w:multiLevelType w:val="hybridMultilevel"/>
    <w:tmpl w:val="3D38EB7A"/>
    <w:lvl w:ilvl="0" w:tplc="3DFAF122">
      <w:start w:val="1"/>
      <w:numFmt w:val="lowerLetter"/>
      <w:lvlText w:val="%1)"/>
      <w:lvlJc w:val="left"/>
      <w:pPr>
        <w:ind w:left="11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20" w:hanging="360"/>
      </w:pPr>
    </w:lvl>
    <w:lvl w:ilvl="2" w:tplc="0415001B" w:tentative="1">
      <w:start w:val="1"/>
      <w:numFmt w:val="lowerRoman"/>
      <w:lvlText w:val="%3."/>
      <w:lvlJc w:val="right"/>
      <w:pPr>
        <w:ind w:left="2540" w:hanging="180"/>
      </w:pPr>
    </w:lvl>
    <w:lvl w:ilvl="3" w:tplc="0415000F" w:tentative="1">
      <w:start w:val="1"/>
      <w:numFmt w:val="decimal"/>
      <w:lvlText w:val="%4."/>
      <w:lvlJc w:val="left"/>
      <w:pPr>
        <w:ind w:left="3260" w:hanging="360"/>
      </w:pPr>
    </w:lvl>
    <w:lvl w:ilvl="4" w:tplc="04150019" w:tentative="1">
      <w:start w:val="1"/>
      <w:numFmt w:val="lowerLetter"/>
      <w:lvlText w:val="%5."/>
      <w:lvlJc w:val="left"/>
      <w:pPr>
        <w:ind w:left="3980" w:hanging="360"/>
      </w:pPr>
    </w:lvl>
    <w:lvl w:ilvl="5" w:tplc="0415001B" w:tentative="1">
      <w:start w:val="1"/>
      <w:numFmt w:val="lowerRoman"/>
      <w:lvlText w:val="%6."/>
      <w:lvlJc w:val="right"/>
      <w:pPr>
        <w:ind w:left="4700" w:hanging="180"/>
      </w:pPr>
    </w:lvl>
    <w:lvl w:ilvl="6" w:tplc="0415000F" w:tentative="1">
      <w:start w:val="1"/>
      <w:numFmt w:val="decimal"/>
      <w:lvlText w:val="%7."/>
      <w:lvlJc w:val="left"/>
      <w:pPr>
        <w:ind w:left="5420" w:hanging="360"/>
      </w:pPr>
    </w:lvl>
    <w:lvl w:ilvl="7" w:tplc="04150019" w:tentative="1">
      <w:start w:val="1"/>
      <w:numFmt w:val="lowerLetter"/>
      <w:lvlText w:val="%8."/>
      <w:lvlJc w:val="left"/>
      <w:pPr>
        <w:ind w:left="6140" w:hanging="360"/>
      </w:pPr>
    </w:lvl>
    <w:lvl w:ilvl="8" w:tplc="0415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3" w15:restartNumberingAfterBreak="0">
    <w:nsid w:val="3CFA0A50"/>
    <w:multiLevelType w:val="multilevel"/>
    <w:tmpl w:val="909E72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D42256"/>
    <w:multiLevelType w:val="multilevel"/>
    <w:tmpl w:val="0122EB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1546C19"/>
    <w:multiLevelType w:val="multilevel"/>
    <w:tmpl w:val="931654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5562F03"/>
    <w:multiLevelType w:val="hybridMultilevel"/>
    <w:tmpl w:val="E93C3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B7472F"/>
    <w:multiLevelType w:val="multilevel"/>
    <w:tmpl w:val="3DE2891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67002E4"/>
    <w:multiLevelType w:val="multilevel"/>
    <w:tmpl w:val="4408605A"/>
    <w:lvl w:ilvl="0">
      <w:start w:val="1"/>
      <w:numFmt w:val="lowerRoman"/>
      <w:lvlText w:val="(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135B83"/>
    <w:multiLevelType w:val="hybridMultilevel"/>
    <w:tmpl w:val="22D0CD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F82599"/>
    <w:multiLevelType w:val="multilevel"/>
    <w:tmpl w:val="38B24C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60D0383"/>
    <w:multiLevelType w:val="multilevel"/>
    <w:tmpl w:val="F71A3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  <w:sz w:val="19"/>
        <w:u w:val="singl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color w:val="auto"/>
        <w:sz w:val="24"/>
        <w:szCs w:val="24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color w:val="FF0000"/>
        <w:sz w:val="19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  <w:color w:val="FF0000"/>
        <w:sz w:val="19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  <w:color w:val="FF0000"/>
        <w:sz w:val="19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  <w:color w:val="FF0000"/>
        <w:sz w:val="19"/>
        <w:u w:val="singl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i w:val="0"/>
        <w:color w:val="FF0000"/>
        <w:sz w:val="19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  <w:color w:val="FF0000"/>
        <w:sz w:val="19"/>
        <w:u w:val="singl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i w:val="0"/>
        <w:color w:val="FF0000"/>
        <w:sz w:val="19"/>
        <w:u w:val="single"/>
      </w:rPr>
    </w:lvl>
  </w:abstractNum>
  <w:abstractNum w:abstractNumId="32" w15:restartNumberingAfterBreak="0">
    <w:nsid w:val="5A954245"/>
    <w:multiLevelType w:val="multilevel"/>
    <w:tmpl w:val="46D0EA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C492215"/>
    <w:multiLevelType w:val="multilevel"/>
    <w:tmpl w:val="7310C9EA"/>
    <w:lvl w:ilvl="0">
      <w:start w:val="1"/>
      <w:numFmt w:val="lowerLetter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E1A5D83"/>
    <w:multiLevelType w:val="multilevel"/>
    <w:tmpl w:val="5B645F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64AA1A89"/>
    <w:multiLevelType w:val="hybridMultilevel"/>
    <w:tmpl w:val="59AC9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C22D6D"/>
    <w:multiLevelType w:val="multilevel"/>
    <w:tmpl w:val="DD025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245206"/>
    <w:multiLevelType w:val="multilevel"/>
    <w:tmpl w:val="D188F16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DD12D6A"/>
    <w:multiLevelType w:val="multilevel"/>
    <w:tmpl w:val="D35E34C2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20E5D27"/>
    <w:multiLevelType w:val="hybridMultilevel"/>
    <w:tmpl w:val="AB00C3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30491F"/>
    <w:multiLevelType w:val="multilevel"/>
    <w:tmpl w:val="D2A6C51A"/>
    <w:lvl w:ilvl="0">
      <w:start w:val="1"/>
      <w:numFmt w:val="decimal"/>
      <w:lvlText w:val="%1."/>
      <w:lvlJc w:val="left"/>
      <w:rPr>
        <w:rFonts w:asciiTheme="minorHAnsi" w:eastAsia="Times New Roman" w:hAnsiTheme="minorHAnsi" w:cstheme="minorHAns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6457A7C"/>
    <w:multiLevelType w:val="multilevel"/>
    <w:tmpl w:val="760879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91C0B2D"/>
    <w:multiLevelType w:val="multilevel"/>
    <w:tmpl w:val="F15261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95621F2"/>
    <w:multiLevelType w:val="multilevel"/>
    <w:tmpl w:val="0C44FE9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B1D5328"/>
    <w:multiLevelType w:val="multilevel"/>
    <w:tmpl w:val="B53655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D981170"/>
    <w:multiLevelType w:val="multilevel"/>
    <w:tmpl w:val="2CC0141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4"/>
  </w:num>
  <w:num w:numId="2">
    <w:abstractNumId w:val="41"/>
  </w:num>
  <w:num w:numId="3">
    <w:abstractNumId w:val="20"/>
  </w:num>
  <w:num w:numId="4">
    <w:abstractNumId w:val="4"/>
  </w:num>
  <w:num w:numId="5">
    <w:abstractNumId w:val="28"/>
  </w:num>
  <w:num w:numId="6">
    <w:abstractNumId w:val="43"/>
  </w:num>
  <w:num w:numId="7">
    <w:abstractNumId w:val="38"/>
  </w:num>
  <w:num w:numId="8">
    <w:abstractNumId w:val="21"/>
  </w:num>
  <w:num w:numId="9">
    <w:abstractNumId w:val="37"/>
  </w:num>
  <w:num w:numId="10">
    <w:abstractNumId w:val="16"/>
  </w:num>
  <w:num w:numId="11">
    <w:abstractNumId w:val="13"/>
  </w:num>
  <w:num w:numId="12">
    <w:abstractNumId w:val="11"/>
  </w:num>
  <w:num w:numId="13">
    <w:abstractNumId w:val="12"/>
  </w:num>
  <w:num w:numId="14">
    <w:abstractNumId w:val="33"/>
  </w:num>
  <w:num w:numId="15">
    <w:abstractNumId w:val="36"/>
  </w:num>
  <w:num w:numId="16">
    <w:abstractNumId w:val="30"/>
  </w:num>
  <w:num w:numId="17">
    <w:abstractNumId w:val="42"/>
  </w:num>
  <w:num w:numId="18">
    <w:abstractNumId w:val="25"/>
  </w:num>
  <w:num w:numId="19">
    <w:abstractNumId w:val="27"/>
  </w:num>
  <w:num w:numId="20">
    <w:abstractNumId w:val="7"/>
  </w:num>
  <w:num w:numId="21">
    <w:abstractNumId w:val="45"/>
  </w:num>
  <w:num w:numId="22">
    <w:abstractNumId w:val="32"/>
  </w:num>
  <w:num w:numId="23">
    <w:abstractNumId w:val="23"/>
  </w:num>
  <w:num w:numId="24">
    <w:abstractNumId w:val="17"/>
  </w:num>
  <w:num w:numId="25">
    <w:abstractNumId w:val="8"/>
  </w:num>
  <w:num w:numId="26">
    <w:abstractNumId w:val="34"/>
  </w:num>
  <w:num w:numId="27">
    <w:abstractNumId w:val="24"/>
  </w:num>
  <w:num w:numId="28">
    <w:abstractNumId w:val="9"/>
  </w:num>
  <w:num w:numId="29">
    <w:abstractNumId w:val="14"/>
  </w:num>
  <w:num w:numId="30">
    <w:abstractNumId w:val="26"/>
  </w:num>
  <w:num w:numId="31">
    <w:abstractNumId w:val="39"/>
  </w:num>
  <w:num w:numId="32">
    <w:abstractNumId w:val="22"/>
  </w:num>
  <w:num w:numId="33">
    <w:abstractNumId w:val="19"/>
  </w:num>
  <w:num w:numId="34">
    <w:abstractNumId w:val="31"/>
  </w:num>
  <w:num w:numId="35">
    <w:abstractNumId w:val="40"/>
  </w:num>
  <w:num w:numId="36">
    <w:abstractNumId w:val="5"/>
  </w:num>
  <w:num w:numId="37">
    <w:abstractNumId w:val="10"/>
  </w:num>
  <w:num w:numId="38">
    <w:abstractNumId w:val="15"/>
  </w:num>
  <w:num w:numId="39">
    <w:abstractNumId w:val="18"/>
  </w:num>
  <w:num w:numId="40">
    <w:abstractNumId w:val="6"/>
  </w:num>
  <w:num w:numId="41">
    <w:abstractNumId w:val="29"/>
  </w:num>
  <w:num w:numId="42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9751CC"/>
    <w:rsid w:val="00004C6B"/>
    <w:rsid w:val="0000685F"/>
    <w:rsid w:val="00014882"/>
    <w:rsid w:val="0002167F"/>
    <w:rsid w:val="000319AA"/>
    <w:rsid w:val="00031B55"/>
    <w:rsid w:val="000343FF"/>
    <w:rsid w:val="00034CAE"/>
    <w:rsid w:val="00041C1B"/>
    <w:rsid w:val="0004451A"/>
    <w:rsid w:val="00045480"/>
    <w:rsid w:val="00047B09"/>
    <w:rsid w:val="000500BB"/>
    <w:rsid w:val="00055504"/>
    <w:rsid w:val="00060207"/>
    <w:rsid w:val="000617E1"/>
    <w:rsid w:val="00061A12"/>
    <w:rsid w:val="00063B2A"/>
    <w:rsid w:val="000643DE"/>
    <w:rsid w:val="00064A87"/>
    <w:rsid w:val="00066926"/>
    <w:rsid w:val="000714F9"/>
    <w:rsid w:val="00071AAA"/>
    <w:rsid w:val="00074824"/>
    <w:rsid w:val="0007792D"/>
    <w:rsid w:val="00077B0D"/>
    <w:rsid w:val="00077B66"/>
    <w:rsid w:val="00091769"/>
    <w:rsid w:val="00094DF9"/>
    <w:rsid w:val="000A0AA7"/>
    <w:rsid w:val="000A0D7C"/>
    <w:rsid w:val="000A0F50"/>
    <w:rsid w:val="000A6991"/>
    <w:rsid w:val="000A6BC0"/>
    <w:rsid w:val="000A6F04"/>
    <w:rsid w:val="000B201D"/>
    <w:rsid w:val="000B3B78"/>
    <w:rsid w:val="000B5181"/>
    <w:rsid w:val="000C0CDB"/>
    <w:rsid w:val="000C4D0F"/>
    <w:rsid w:val="000D10F7"/>
    <w:rsid w:val="000D1E73"/>
    <w:rsid w:val="000D1FED"/>
    <w:rsid w:val="000D2130"/>
    <w:rsid w:val="000D2CFF"/>
    <w:rsid w:val="000D6785"/>
    <w:rsid w:val="000D6814"/>
    <w:rsid w:val="000E0AAD"/>
    <w:rsid w:val="000E20B6"/>
    <w:rsid w:val="000F2632"/>
    <w:rsid w:val="000F3BF6"/>
    <w:rsid w:val="000F5F90"/>
    <w:rsid w:val="000F69E3"/>
    <w:rsid w:val="00102468"/>
    <w:rsid w:val="001150BF"/>
    <w:rsid w:val="00121462"/>
    <w:rsid w:val="001239C7"/>
    <w:rsid w:val="0012631A"/>
    <w:rsid w:val="00127822"/>
    <w:rsid w:val="0012784E"/>
    <w:rsid w:val="0012789B"/>
    <w:rsid w:val="00127918"/>
    <w:rsid w:val="00127C22"/>
    <w:rsid w:val="00130F24"/>
    <w:rsid w:val="00132429"/>
    <w:rsid w:val="00133901"/>
    <w:rsid w:val="0013728C"/>
    <w:rsid w:val="00137B25"/>
    <w:rsid w:val="00140470"/>
    <w:rsid w:val="001419E1"/>
    <w:rsid w:val="00146810"/>
    <w:rsid w:val="001503CE"/>
    <w:rsid w:val="00151901"/>
    <w:rsid w:val="001570D4"/>
    <w:rsid w:val="001600AB"/>
    <w:rsid w:val="00162584"/>
    <w:rsid w:val="00167F8E"/>
    <w:rsid w:val="00171231"/>
    <w:rsid w:val="0017485B"/>
    <w:rsid w:val="00176B71"/>
    <w:rsid w:val="001817CC"/>
    <w:rsid w:val="0018437B"/>
    <w:rsid w:val="00186343"/>
    <w:rsid w:val="001866A3"/>
    <w:rsid w:val="0018736A"/>
    <w:rsid w:val="001877A3"/>
    <w:rsid w:val="00193D44"/>
    <w:rsid w:val="001951A4"/>
    <w:rsid w:val="00196CA7"/>
    <w:rsid w:val="00197B3A"/>
    <w:rsid w:val="00197D47"/>
    <w:rsid w:val="001A6C6A"/>
    <w:rsid w:val="001A7361"/>
    <w:rsid w:val="001A7551"/>
    <w:rsid w:val="001A75B5"/>
    <w:rsid w:val="001B25F0"/>
    <w:rsid w:val="001D12AD"/>
    <w:rsid w:val="001D1B18"/>
    <w:rsid w:val="001D39F4"/>
    <w:rsid w:val="001D65C3"/>
    <w:rsid w:val="001D7430"/>
    <w:rsid w:val="001D749E"/>
    <w:rsid w:val="001E3735"/>
    <w:rsid w:val="001E40FB"/>
    <w:rsid w:val="001E52D7"/>
    <w:rsid w:val="001E588D"/>
    <w:rsid w:val="001E67AC"/>
    <w:rsid w:val="001F1023"/>
    <w:rsid w:val="00204162"/>
    <w:rsid w:val="00206A98"/>
    <w:rsid w:val="002120A7"/>
    <w:rsid w:val="00213B3A"/>
    <w:rsid w:val="00215765"/>
    <w:rsid w:val="0022094B"/>
    <w:rsid w:val="0022144C"/>
    <w:rsid w:val="00221471"/>
    <w:rsid w:val="0022215B"/>
    <w:rsid w:val="0022420B"/>
    <w:rsid w:val="0022562A"/>
    <w:rsid w:val="002261E4"/>
    <w:rsid w:val="00227BD8"/>
    <w:rsid w:val="00230329"/>
    <w:rsid w:val="00231D17"/>
    <w:rsid w:val="00233859"/>
    <w:rsid w:val="002358D1"/>
    <w:rsid w:val="00235B73"/>
    <w:rsid w:val="00236815"/>
    <w:rsid w:val="00241AB8"/>
    <w:rsid w:val="00241C84"/>
    <w:rsid w:val="00241FF5"/>
    <w:rsid w:val="0024290A"/>
    <w:rsid w:val="0024497C"/>
    <w:rsid w:val="002517DD"/>
    <w:rsid w:val="00253E71"/>
    <w:rsid w:val="00256281"/>
    <w:rsid w:val="002621A8"/>
    <w:rsid w:val="002638F2"/>
    <w:rsid w:val="00263EC4"/>
    <w:rsid w:val="002663E4"/>
    <w:rsid w:val="00271AD8"/>
    <w:rsid w:val="0027502C"/>
    <w:rsid w:val="0027737A"/>
    <w:rsid w:val="00284127"/>
    <w:rsid w:val="00284621"/>
    <w:rsid w:val="00284D70"/>
    <w:rsid w:val="0028505D"/>
    <w:rsid w:val="00286453"/>
    <w:rsid w:val="00286635"/>
    <w:rsid w:val="00291213"/>
    <w:rsid w:val="00295C5C"/>
    <w:rsid w:val="002978D9"/>
    <w:rsid w:val="002A677A"/>
    <w:rsid w:val="002B03CF"/>
    <w:rsid w:val="002B3391"/>
    <w:rsid w:val="002B3F56"/>
    <w:rsid w:val="002C1B27"/>
    <w:rsid w:val="002C29C0"/>
    <w:rsid w:val="002C7BC5"/>
    <w:rsid w:val="002D21FF"/>
    <w:rsid w:val="002E239B"/>
    <w:rsid w:val="002F19BA"/>
    <w:rsid w:val="003026D7"/>
    <w:rsid w:val="00303101"/>
    <w:rsid w:val="003041CC"/>
    <w:rsid w:val="003045F5"/>
    <w:rsid w:val="00311163"/>
    <w:rsid w:val="0031474A"/>
    <w:rsid w:val="00314CB5"/>
    <w:rsid w:val="00317CC6"/>
    <w:rsid w:val="00317DAC"/>
    <w:rsid w:val="003204CF"/>
    <w:rsid w:val="003232BF"/>
    <w:rsid w:val="00323BAA"/>
    <w:rsid w:val="00327961"/>
    <w:rsid w:val="0033192A"/>
    <w:rsid w:val="003320A9"/>
    <w:rsid w:val="003324F1"/>
    <w:rsid w:val="00337FC8"/>
    <w:rsid w:val="00342294"/>
    <w:rsid w:val="00344FD6"/>
    <w:rsid w:val="003454C4"/>
    <w:rsid w:val="00347FDE"/>
    <w:rsid w:val="00356F68"/>
    <w:rsid w:val="00363305"/>
    <w:rsid w:val="003667AC"/>
    <w:rsid w:val="00367CE1"/>
    <w:rsid w:val="00383E6E"/>
    <w:rsid w:val="00385FEF"/>
    <w:rsid w:val="003860F4"/>
    <w:rsid w:val="00387177"/>
    <w:rsid w:val="00387DC1"/>
    <w:rsid w:val="00390564"/>
    <w:rsid w:val="0039277B"/>
    <w:rsid w:val="00393599"/>
    <w:rsid w:val="00393B4A"/>
    <w:rsid w:val="003A215E"/>
    <w:rsid w:val="003A279D"/>
    <w:rsid w:val="003B0E60"/>
    <w:rsid w:val="003B1DC0"/>
    <w:rsid w:val="003B53B8"/>
    <w:rsid w:val="003C0122"/>
    <w:rsid w:val="003C0E69"/>
    <w:rsid w:val="003C2C14"/>
    <w:rsid w:val="003C42AB"/>
    <w:rsid w:val="003C4B16"/>
    <w:rsid w:val="003C4FA3"/>
    <w:rsid w:val="003D3626"/>
    <w:rsid w:val="003D46B5"/>
    <w:rsid w:val="003D572B"/>
    <w:rsid w:val="003D768F"/>
    <w:rsid w:val="003E280D"/>
    <w:rsid w:val="003E2AD8"/>
    <w:rsid w:val="003E3452"/>
    <w:rsid w:val="003E3ABB"/>
    <w:rsid w:val="003F22B7"/>
    <w:rsid w:val="003F2EAF"/>
    <w:rsid w:val="00402635"/>
    <w:rsid w:val="004038F1"/>
    <w:rsid w:val="00403B45"/>
    <w:rsid w:val="004079B7"/>
    <w:rsid w:val="00414BA9"/>
    <w:rsid w:val="00415AC6"/>
    <w:rsid w:val="00416DC9"/>
    <w:rsid w:val="00421D7E"/>
    <w:rsid w:val="00427EC5"/>
    <w:rsid w:val="004361A0"/>
    <w:rsid w:val="00437932"/>
    <w:rsid w:val="00443E2E"/>
    <w:rsid w:val="0046417E"/>
    <w:rsid w:val="004718EC"/>
    <w:rsid w:val="004755C6"/>
    <w:rsid w:val="0047612A"/>
    <w:rsid w:val="004776AD"/>
    <w:rsid w:val="00483AB3"/>
    <w:rsid w:val="00490106"/>
    <w:rsid w:val="00490399"/>
    <w:rsid w:val="00490DB3"/>
    <w:rsid w:val="004918BF"/>
    <w:rsid w:val="00492E22"/>
    <w:rsid w:val="004931DE"/>
    <w:rsid w:val="004A15EC"/>
    <w:rsid w:val="004A1688"/>
    <w:rsid w:val="004A321B"/>
    <w:rsid w:val="004A57E8"/>
    <w:rsid w:val="004B58BE"/>
    <w:rsid w:val="004B623A"/>
    <w:rsid w:val="004B7E07"/>
    <w:rsid w:val="004C52AF"/>
    <w:rsid w:val="004C70C1"/>
    <w:rsid w:val="004D2D81"/>
    <w:rsid w:val="004D571B"/>
    <w:rsid w:val="004D615E"/>
    <w:rsid w:val="004D64A3"/>
    <w:rsid w:val="004E21E3"/>
    <w:rsid w:val="004E35BD"/>
    <w:rsid w:val="004E6B67"/>
    <w:rsid w:val="004E6B8B"/>
    <w:rsid w:val="004E6EBB"/>
    <w:rsid w:val="004E7D8E"/>
    <w:rsid w:val="004F1821"/>
    <w:rsid w:val="004F22B0"/>
    <w:rsid w:val="004F3196"/>
    <w:rsid w:val="004F5085"/>
    <w:rsid w:val="004F67F5"/>
    <w:rsid w:val="005017BE"/>
    <w:rsid w:val="00504775"/>
    <w:rsid w:val="00504DB3"/>
    <w:rsid w:val="00510133"/>
    <w:rsid w:val="005112D9"/>
    <w:rsid w:val="00511347"/>
    <w:rsid w:val="00514144"/>
    <w:rsid w:val="0051611A"/>
    <w:rsid w:val="00520B10"/>
    <w:rsid w:val="0052360C"/>
    <w:rsid w:val="00523EB1"/>
    <w:rsid w:val="00524535"/>
    <w:rsid w:val="00530FC7"/>
    <w:rsid w:val="00531B26"/>
    <w:rsid w:val="005476D7"/>
    <w:rsid w:val="00550638"/>
    <w:rsid w:val="00550E1B"/>
    <w:rsid w:val="00551FE8"/>
    <w:rsid w:val="00552C9E"/>
    <w:rsid w:val="00555053"/>
    <w:rsid w:val="00555DCB"/>
    <w:rsid w:val="005571CD"/>
    <w:rsid w:val="005612D4"/>
    <w:rsid w:val="00563BCD"/>
    <w:rsid w:val="00574E47"/>
    <w:rsid w:val="00575A74"/>
    <w:rsid w:val="00576E75"/>
    <w:rsid w:val="0058195A"/>
    <w:rsid w:val="0059080D"/>
    <w:rsid w:val="0059697D"/>
    <w:rsid w:val="00596D9C"/>
    <w:rsid w:val="00597676"/>
    <w:rsid w:val="005A4C9B"/>
    <w:rsid w:val="005B1BFC"/>
    <w:rsid w:val="005B2D27"/>
    <w:rsid w:val="005B7FE0"/>
    <w:rsid w:val="005C2473"/>
    <w:rsid w:val="005C4417"/>
    <w:rsid w:val="005C4887"/>
    <w:rsid w:val="005C5FF2"/>
    <w:rsid w:val="005C7E6A"/>
    <w:rsid w:val="005D1DE0"/>
    <w:rsid w:val="005D2EB5"/>
    <w:rsid w:val="005D4F5C"/>
    <w:rsid w:val="005D61B0"/>
    <w:rsid w:val="005E159E"/>
    <w:rsid w:val="005E33E1"/>
    <w:rsid w:val="005E3C55"/>
    <w:rsid w:val="005E56C9"/>
    <w:rsid w:val="005F022A"/>
    <w:rsid w:val="005F667D"/>
    <w:rsid w:val="005F6C07"/>
    <w:rsid w:val="00600379"/>
    <w:rsid w:val="006013C8"/>
    <w:rsid w:val="0060196F"/>
    <w:rsid w:val="00603AB9"/>
    <w:rsid w:val="00603AFD"/>
    <w:rsid w:val="00604595"/>
    <w:rsid w:val="006101E6"/>
    <w:rsid w:val="00614554"/>
    <w:rsid w:val="00615A3E"/>
    <w:rsid w:val="00617F6E"/>
    <w:rsid w:val="00622716"/>
    <w:rsid w:val="00624A8D"/>
    <w:rsid w:val="006278B1"/>
    <w:rsid w:val="00627C02"/>
    <w:rsid w:val="00627E67"/>
    <w:rsid w:val="006320F1"/>
    <w:rsid w:val="00632351"/>
    <w:rsid w:val="00635177"/>
    <w:rsid w:val="006353C1"/>
    <w:rsid w:val="00636A48"/>
    <w:rsid w:val="006374E5"/>
    <w:rsid w:val="00637642"/>
    <w:rsid w:val="00637819"/>
    <w:rsid w:val="00637B69"/>
    <w:rsid w:val="0064004B"/>
    <w:rsid w:val="006404A9"/>
    <w:rsid w:val="0064076F"/>
    <w:rsid w:val="0064358A"/>
    <w:rsid w:val="00651CF5"/>
    <w:rsid w:val="00652122"/>
    <w:rsid w:val="00660B64"/>
    <w:rsid w:val="0066440A"/>
    <w:rsid w:val="0066522C"/>
    <w:rsid w:val="00671488"/>
    <w:rsid w:val="00672C10"/>
    <w:rsid w:val="00675830"/>
    <w:rsid w:val="00675C49"/>
    <w:rsid w:val="0067732A"/>
    <w:rsid w:val="00677410"/>
    <w:rsid w:val="006774E5"/>
    <w:rsid w:val="00680683"/>
    <w:rsid w:val="00682B46"/>
    <w:rsid w:val="006834FE"/>
    <w:rsid w:val="00683C15"/>
    <w:rsid w:val="006840D3"/>
    <w:rsid w:val="0068648A"/>
    <w:rsid w:val="006867E9"/>
    <w:rsid w:val="00690A0F"/>
    <w:rsid w:val="00690D61"/>
    <w:rsid w:val="00694118"/>
    <w:rsid w:val="00694994"/>
    <w:rsid w:val="00696AC5"/>
    <w:rsid w:val="006A0D69"/>
    <w:rsid w:val="006A1C1C"/>
    <w:rsid w:val="006A6FA5"/>
    <w:rsid w:val="006B227B"/>
    <w:rsid w:val="006B24F7"/>
    <w:rsid w:val="006B38FB"/>
    <w:rsid w:val="006B6F80"/>
    <w:rsid w:val="006C0FEB"/>
    <w:rsid w:val="006C33B2"/>
    <w:rsid w:val="006C3A93"/>
    <w:rsid w:val="006C539F"/>
    <w:rsid w:val="006C63DB"/>
    <w:rsid w:val="006C674F"/>
    <w:rsid w:val="006D209A"/>
    <w:rsid w:val="006E0FCA"/>
    <w:rsid w:val="006E1969"/>
    <w:rsid w:val="006E508D"/>
    <w:rsid w:val="006E7555"/>
    <w:rsid w:val="006F07B2"/>
    <w:rsid w:val="006F0BC4"/>
    <w:rsid w:val="006F3AC6"/>
    <w:rsid w:val="006F5DE1"/>
    <w:rsid w:val="007014C2"/>
    <w:rsid w:val="00703849"/>
    <w:rsid w:val="00707D0B"/>
    <w:rsid w:val="00712A4A"/>
    <w:rsid w:val="00712EB2"/>
    <w:rsid w:val="00713B6F"/>
    <w:rsid w:val="0072044F"/>
    <w:rsid w:val="0072247C"/>
    <w:rsid w:val="0072602A"/>
    <w:rsid w:val="00727C10"/>
    <w:rsid w:val="00732369"/>
    <w:rsid w:val="00732389"/>
    <w:rsid w:val="0073565E"/>
    <w:rsid w:val="0073699C"/>
    <w:rsid w:val="007417F1"/>
    <w:rsid w:val="00741B3B"/>
    <w:rsid w:val="00751D5D"/>
    <w:rsid w:val="00752C27"/>
    <w:rsid w:val="0075437D"/>
    <w:rsid w:val="00756DE2"/>
    <w:rsid w:val="00760A9E"/>
    <w:rsid w:val="00761959"/>
    <w:rsid w:val="00767A79"/>
    <w:rsid w:val="00770726"/>
    <w:rsid w:val="0077237A"/>
    <w:rsid w:val="00773BF8"/>
    <w:rsid w:val="007769F6"/>
    <w:rsid w:val="00777FB6"/>
    <w:rsid w:val="00781469"/>
    <w:rsid w:val="007816A7"/>
    <w:rsid w:val="00786886"/>
    <w:rsid w:val="00787943"/>
    <w:rsid w:val="00790278"/>
    <w:rsid w:val="00790700"/>
    <w:rsid w:val="00792D22"/>
    <w:rsid w:val="00792DE7"/>
    <w:rsid w:val="00794396"/>
    <w:rsid w:val="007A1C56"/>
    <w:rsid w:val="007A2B48"/>
    <w:rsid w:val="007A4D21"/>
    <w:rsid w:val="007A5AB4"/>
    <w:rsid w:val="007B0B0D"/>
    <w:rsid w:val="007C280E"/>
    <w:rsid w:val="007C2EE5"/>
    <w:rsid w:val="007C3073"/>
    <w:rsid w:val="007C4199"/>
    <w:rsid w:val="007C4E1B"/>
    <w:rsid w:val="007D0A11"/>
    <w:rsid w:val="007D2110"/>
    <w:rsid w:val="007D29A5"/>
    <w:rsid w:val="007D4114"/>
    <w:rsid w:val="007D7DAE"/>
    <w:rsid w:val="007E0ADA"/>
    <w:rsid w:val="007E25C8"/>
    <w:rsid w:val="007E72B0"/>
    <w:rsid w:val="007F162C"/>
    <w:rsid w:val="007F1CF4"/>
    <w:rsid w:val="007F2068"/>
    <w:rsid w:val="007F497A"/>
    <w:rsid w:val="007F6245"/>
    <w:rsid w:val="00800B39"/>
    <w:rsid w:val="00801792"/>
    <w:rsid w:val="00803E86"/>
    <w:rsid w:val="00807122"/>
    <w:rsid w:val="00807EF4"/>
    <w:rsid w:val="00816D2D"/>
    <w:rsid w:val="0082192E"/>
    <w:rsid w:val="00823F21"/>
    <w:rsid w:val="00834162"/>
    <w:rsid w:val="008347FA"/>
    <w:rsid w:val="0083588E"/>
    <w:rsid w:val="0084080D"/>
    <w:rsid w:val="00840E6C"/>
    <w:rsid w:val="00844EB3"/>
    <w:rsid w:val="00846BAB"/>
    <w:rsid w:val="0085620F"/>
    <w:rsid w:val="00857C62"/>
    <w:rsid w:val="00857CF5"/>
    <w:rsid w:val="00857F1C"/>
    <w:rsid w:val="00885EA5"/>
    <w:rsid w:val="00887CC6"/>
    <w:rsid w:val="00890BDF"/>
    <w:rsid w:val="00893E55"/>
    <w:rsid w:val="0089694F"/>
    <w:rsid w:val="00896B66"/>
    <w:rsid w:val="00897055"/>
    <w:rsid w:val="008A011A"/>
    <w:rsid w:val="008B0841"/>
    <w:rsid w:val="008B4EBF"/>
    <w:rsid w:val="008C5D72"/>
    <w:rsid w:val="008D0DE3"/>
    <w:rsid w:val="008D40A3"/>
    <w:rsid w:val="008D4D93"/>
    <w:rsid w:val="008D72CE"/>
    <w:rsid w:val="008E076B"/>
    <w:rsid w:val="008E2193"/>
    <w:rsid w:val="008E4994"/>
    <w:rsid w:val="008E7075"/>
    <w:rsid w:val="008F0DD8"/>
    <w:rsid w:val="008F592F"/>
    <w:rsid w:val="009019F7"/>
    <w:rsid w:val="00904FFF"/>
    <w:rsid w:val="009050D6"/>
    <w:rsid w:val="00906140"/>
    <w:rsid w:val="009107AC"/>
    <w:rsid w:val="009166DD"/>
    <w:rsid w:val="009215E5"/>
    <w:rsid w:val="00921E86"/>
    <w:rsid w:val="00926305"/>
    <w:rsid w:val="00926AE5"/>
    <w:rsid w:val="00927421"/>
    <w:rsid w:val="009336BD"/>
    <w:rsid w:val="00935448"/>
    <w:rsid w:val="0094095D"/>
    <w:rsid w:val="00942278"/>
    <w:rsid w:val="009435F2"/>
    <w:rsid w:val="00943A88"/>
    <w:rsid w:val="00944E91"/>
    <w:rsid w:val="00945DA0"/>
    <w:rsid w:val="009502ED"/>
    <w:rsid w:val="0096064E"/>
    <w:rsid w:val="00962280"/>
    <w:rsid w:val="00963100"/>
    <w:rsid w:val="00963258"/>
    <w:rsid w:val="009634D5"/>
    <w:rsid w:val="00964FA2"/>
    <w:rsid w:val="0096594F"/>
    <w:rsid w:val="00972158"/>
    <w:rsid w:val="009751CC"/>
    <w:rsid w:val="00975EDC"/>
    <w:rsid w:val="00975F7B"/>
    <w:rsid w:val="00980D57"/>
    <w:rsid w:val="009826A5"/>
    <w:rsid w:val="00982DDD"/>
    <w:rsid w:val="009833DD"/>
    <w:rsid w:val="00983AAC"/>
    <w:rsid w:val="009840D3"/>
    <w:rsid w:val="00984A30"/>
    <w:rsid w:val="009852E4"/>
    <w:rsid w:val="00985898"/>
    <w:rsid w:val="0098669D"/>
    <w:rsid w:val="00991D44"/>
    <w:rsid w:val="009929CD"/>
    <w:rsid w:val="00992A22"/>
    <w:rsid w:val="009935F5"/>
    <w:rsid w:val="00994853"/>
    <w:rsid w:val="0099687A"/>
    <w:rsid w:val="009A4775"/>
    <w:rsid w:val="009A71B2"/>
    <w:rsid w:val="009B22B5"/>
    <w:rsid w:val="009B44A4"/>
    <w:rsid w:val="009B44CD"/>
    <w:rsid w:val="009B52B3"/>
    <w:rsid w:val="009C1425"/>
    <w:rsid w:val="009C16B1"/>
    <w:rsid w:val="009C34E9"/>
    <w:rsid w:val="009C4717"/>
    <w:rsid w:val="009D0380"/>
    <w:rsid w:val="009D065C"/>
    <w:rsid w:val="009D0D0C"/>
    <w:rsid w:val="009D320F"/>
    <w:rsid w:val="009D4338"/>
    <w:rsid w:val="009E03D6"/>
    <w:rsid w:val="009E1AC6"/>
    <w:rsid w:val="009E3071"/>
    <w:rsid w:val="009E690C"/>
    <w:rsid w:val="009E6F41"/>
    <w:rsid w:val="009F00E6"/>
    <w:rsid w:val="009F1468"/>
    <w:rsid w:val="009F6308"/>
    <w:rsid w:val="009F6E64"/>
    <w:rsid w:val="009F7444"/>
    <w:rsid w:val="009F7B4E"/>
    <w:rsid w:val="00A00134"/>
    <w:rsid w:val="00A02025"/>
    <w:rsid w:val="00A023AE"/>
    <w:rsid w:val="00A04323"/>
    <w:rsid w:val="00A04B42"/>
    <w:rsid w:val="00A057AA"/>
    <w:rsid w:val="00A10650"/>
    <w:rsid w:val="00A17CAD"/>
    <w:rsid w:val="00A201A0"/>
    <w:rsid w:val="00A21477"/>
    <w:rsid w:val="00A239CB"/>
    <w:rsid w:val="00A27D3D"/>
    <w:rsid w:val="00A31834"/>
    <w:rsid w:val="00A322DA"/>
    <w:rsid w:val="00A35812"/>
    <w:rsid w:val="00A3778C"/>
    <w:rsid w:val="00A4626C"/>
    <w:rsid w:val="00A50749"/>
    <w:rsid w:val="00A53143"/>
    <w:rsid w:val="00A5376D"/>
    <w:rsid w:val="00A6007F"/>
    <w:rsid w:val="00A62632"/>
    <w:rsid w:val="00A62D23"/>
    <w:rsid w:val="00A65377"/>
    <w:rsid w:val="00A704D4"/>
    <w:rsid w:val="00A73F72"/>
    <w:rsid w:val="00A7438A"/>
    <w:rsid w:val="00A84FF6"/>
    <w:rsid w:val="00A865FA"/>
    <w:rsid w:val="00A90E1C"/>
    <w:rsid w:val="00A94A85"/>
    <w:rsid w:val="00A94BDB"/>
    <w:rsid w:val="00A96023"/>
    <w:rsid w:val="00AA06DE"/>
    <w:rsid w:val="00AA08EF"/>
    <w:rsid w:val="00AA7268"/>
    <w:rsid w:val="00AA7377"/>
    <w:rsid w:val="00AB10C6"/>
    <w:rsid w:val="00AB1BC5"/>
    <w:rsid w:val="00AB3CC2"/>
    <w:rsid w:val="00AC01C5"/>
    <w:rsid w:val="00AC148A"/>
    <w:rsid w:val="00AE0E30"/>
    <w:rsid w:val="00AE10DA"/>
    <w:rsid w:val="00AE55CC"/>
    <w:rsid w:val="00AF5BC1"/>
    <w:rsid w:val="00AF5CED"/>
    <w:rsid w:val="00B00B06"/>
    <w:rsid w:val="00B01A12"/>
    <w:rsid w:val="00B01DBC"/>
    <w:rsid w:val="00B079A0"/>
    <w:rsid w:val="00B14B86"/>
    <w:rsid w:val="00B14DD7"/>
    <w:rsid w:val="00B15DE8"/>
    <w:rsid w:val="00B16808"/>
    <w:rsid w:val="00B172F9"/>
    <w:rsid w:val="00B175DF"/>
    <w:rsid w:val="00B249E8"/>
    <w:rsid w:val="00B26CCD"/>
    <w:rsid w:val="00B30B83"/>
    <w:rsid w:val="00B432CC"/>
    <w:rsid w:val="00B44584"/>
    <w:rsid w:val="00B50218"/>
    <w:rsid w:val="00B52E08"/>
    <w:rsid w:val="00B54871"/>
    <w:rsid w:val="00B5499B"/>
    <w:rsid w:val="00B563AF"/>
    <w:rsid w:val="00B5726F"/>
    <w:rsid w:val="00B579B8"/>
    <w:rsid w:val="00B60BE3"/>
    <w:rsid w:val="00B6196D"/>
    <w:rsid w:val="00B62A33"/>
    <w:rsid w:val="00B631C7"/>
    <w:rsid w:val="00B70600"/>
    <w:rsid w:val="00B736C5"/>
    <w:rsid w:val="00B755AB"/>
    <w:rsid w:val="00B77308"/>
    <w:rsid w:val="00B77450"/>
    <w:rsid w:val="00B77984"/>
    <w:rsid w:val="00B81D28"/>
    <w:rsid w:val="00B824DA"/>
    <w:rsid w:val="00B84B7A"/>
    <w:rsid w:val="00B85D54"/>
    <w:rsid w:val="00B86F18"/>
    <w:rsid w:val="00B87CF6"/>
    <w:rsid w:val="00B90847"/>
    <w:rsid w:val="00B91E85"/>
    <w:rsid w:val="00B92623"/>
    <w:rsid w:val="00B9456F"/>
    <w:rsid w:val="00B94660"/>
    <w:rsid w:val="00B94B59"/>
    <w:rsid w:val="00B95F4B"/>
    <w:rsid w:val="00BA0C50"/>
    <w:rsid w:val="00BA1F37"/>
    <w:rsid w:val="00BA4962"/>
    <w:rsid w:val="00BA528E"/>
    <w:rsid w:val="00BA5CFE"/>
    <w:rsid w:val="00BB14B4"/>
    <w:rsid w:val="00BB1577"/>
    <w:rsid w:val="00BB7184"/>
    <w:rsid w:val="00BC1A87"/>
    <w:rsid w:val="00BC37C4"/>
    <w:rsid w:val="00BC46C9"/>
    <w:rsid w:val="00BD1447"/>
    <w:rsid w:val="00BD1E09"/>
    <w:rsid w:val="00BD5558"/>
    <w:rsid w:val="00BD5B1A"/>
    <w:rsid w:val="00BD612E"/>
    <w:rsid w:val="00BD7A3B"/>
    <w:rsid w:val="00BE018B"/>
    <w:rsid w:val="00BE1C63"/>
    <w:rsid w:val="00BE594E"/>
    <w:rsid w:val="00BF03D0"/>
    <w:rsid w:val="00BF0E70"/>
    <w:rsid w:val="00BF3BD2"/>
    <w:rsid w:val="00BF6C37"/>
    <w:rsid w:val="00C007D7"/>
    <w:rsid w:val="00C012AC"/>
    <w:rsid w:val="00C05709"/>
    <w:rsid w:val="00C103F0"/>
    <w:rsid w:val="00C110D5"/>
    <w:rsid w:val="00C15533"/>
    <w:rsid w:val="00C1622A"/>
    <w:rsid w:val="00C17ACA"/>
    <w:rsid w:val="00C21AC7"/>
    <w:rsid w:val="00C2201F"/>
    <w:rsid w:val="00C2309C"/>
    <w:rsid w:val="00C24E34"/>
    <w:rsid w:val="00C25CCE"/>
    <w:rsid w:val="00C301B7"/>
    <w:rsid w:val="00C3046A"/>
    <w:rsid w:val="00C317C2"/>
    <w:rsid w:val="00C3287E"/>
    <w:rsid w:val="00C347B7"/>
    <w:rsid w:val="00C3580C"/>
    <w:rsid w:val="00C35BF1"/>
    <w:rsid w:val="00C3762E"/>
    <w:rsid w:val="00C37C66"/>
    <w:rsid w:val="00C42D60"/>
    <w:rsid w:val="00C44675"/>
    <w:rsid w:val="00C455AB"/>
    <w:rsid w:val="00C510C3"/>
    <w:rsid w:val="00C5553D"/>
    <w:rsid w:val="00C57880"/>
    <w:rsid w:val="00C61125"/>
    <w:rsid w:val="00C657E8"/>
    <w:rsid w:val="00C71C61"/>
    <w:rsid w:val="00C72813"/>
    <w:rsid w:val="00C72CB5"/>
    <w:rsid w:val="00C84A9C"/>
    <w:rsid w:val="00C858D2"/>
    <w:rsid w:val="00C85E07"/>
    <w:rsid w:val="00C907C0"/>
    <w:rsid w:val="00C908D4"/>
    <w:rsid w:val="00C92756"/>
    <w:rsid w:val="00C932E5"/>
    <w:rsid w:val="00C93C17"/>
    <w:rsid w:val="00C9491D"/>
    <w:rsid w:val="00C9799E"/>
    <w:rsid w:val="00C97A84"/>
    <w:rsid w:val="00CA0658"/>
    <w:rsid w:val="00CA2FA1"/>
    <w:rsid w:val="00CA3992"/>
    <w:rsid w:val="00CB0276"/>
    <w:rsid w:val="00CB05F7"/>
    <w:rsid w:val="00CB2C87"/>
    <w:rsid w:val="00CB3599"/>
    <w:rsid w:val="00CC2FCA"/>
    <w:rsid w:val="00CC3B36"/>
    <w:rsid w:val="00CC51CA"/>
    <w:rsid w:val="00CD04D9"/>
    <w:rsid w:val="00CD235B"/>
    <w:rsid w:val="00CD4002"/>
    <w:rsid w:val="00CD6B4C"/>
    <w:rsid w:val="00CE14F7"/>
    <w:rsid w:val="00CE2187"/>
    <w:rsid w:val="00CE5565"/>
    <w:rsid w:val="00CF369A"/>
    <w:rsid w:val="00D1516C"/>
    <w:rsid w:val="00D25002"/>
    <w:rsid w:val="00D27B9B"/>
    <w:rsid w:val="00D30EE0"/>
    <w:rsid w:val="00D32782"/>
    <w:rsid w:val="00D34035"/>
    <w:rsid w:val="00D3545F"/>
    <w:rsid w:val="00D35D9F"/>
    <w:rsid w:val="00D37FC8"/>
    <w:rsid w:val="00D418C6"/>
    <w:rsid w:val="00D43987"/>
    <w:rsid w:val="00D443A8"/>
    <w:rsid w:val="00D4576C"/>
    <w:rsid w:val="00D47F81"/>
    <w:rsid w:val="00D50C9D"/>
    <w:rsid w:val="00D51F47"/>
    <w:rsid w:val="00D52380"/>
    <w:rsid w:val="00D5255B"/>
    <w:rsid w:val="00D57467"/>
    <w:rsid w:val="00D62D89"/>
    <w:rsid w:val="00D72E94"/>
    <w:rsid w:val="00D77089"/>
    <w:rsid w:val="00D77857"/>
    <w:rsid w:val="00D8031F"/>
    <w:rsid w:val="00D83DFF"/>
    <w:rsid w:val="00D85D0E"/>
    <w:rsid w:val="00D86113"/>
    <w:rsid w:val="00D93CC2"/>
    <w:rsid w:val="00D9753A"/>
    <w:rsid w:val="00DA131C"/>
    <w:rsid w:val="00DA333D"/>
    <w:rsid w:val="00DA5C2A"/>
    <w:rsid w:val="00DA7814"/>
    <w:rsid w:val="00DA7BC9"/>
    <w:rsid w:val="00DB1267"/>
    <w:rsid w:val="00DB486D"/>
    <w:rsid w:val="00DB5A9E"/>
    <w:rsid w:val="00DC05FF"/>
    <w:rsid w:val="00DC13DD"/>
    <w:rsid w:val="00DC4161"/>
    <w:rsid w:val="00DC6E8A"/>
    <w:rsid w:val="00DC76EC"/>
    <w:rsid w:val="00DD6E79"/>
    <w:rsid w:val="00DE02C8"/>
    <w:rsid w:val="00DE3B08"/>
    <w:rsid w:val="00DF1A8B"/>
    <w:rsid w:val="00DF246B"/>
    <w:rsid w:val="00DF2E11"/>
    <w:rsid w:val="00DF49AE"/>
    <w:rsid w:val="00DF6B93"/>
    <w:rsid w:val="00E00DC3"/>
    <w:rsid w:val="00E0135C"/>
    <w:rsid w:val="00E06189"/>
    <w:rsid w:val="00E10B7F"/>
    <w:rsid w:val="00E13163"/>
    <w:rsid w:val="00E15B85"/>
    <w:rsid w:val="00E265E2"/>
    <w:rsid w:val="00E31E8F"/>
    <w:rsid w:val="00E339C5"/>
    <w:rsid w:val="00E36255"/>
    <w:rsid w:val="00E4705C"/>
    <w:rsid w:val="00E56724"/>
    <w:rsid w:val="00E57D19"/>
    <w:rsid w:val="00E62966"/>
    <w:rsid w:val="00E65629"/>
    <w:rsid w:val="00E66BEE"/>
    <w:rsid w:val="00E71397"/>
    <w:rsid w:val="00E72912"/>
    <w:rsid w:val="00E7347E"/>
    <w:rsid w:val="00E74C9B"/>
    <w:rsid w:val="00E76C6E"/>
    <w:rsid w:val="00E81F0F"/>
    <w:rsid w:val="00E83087"/>
    <w:rsid w:val="00E84596"/>
    <w:rsid w:val="00E96906"/>
    <w:rsid w:val="00E96D41"/>
    <w:rsid w:val="00EA2D84"/>
    <w:rsid w:val="00EA6416"/>
    <w:rsid w:val="00EB08C0"/>
    <w:rsid w:val="00EB11A1"/>
    <w:rsid w:val="00EB182A"/>
    <w:rsid w:val="00EB60E3"/>
    <w:rsid w:val="00EB6BF4"/>
    <w:rsid w:val="00EB7DEB"/>
    <w:rsid w:val="00EC1F02"/>
    <w:rsid w:val="00EC2430"/>
    <w:rsid w:val="00ED1648"/>
    <w:rsid w:val="00ED5554"/>
    <w:rsid w:val="00ED633B"/>
    <w:rsid w:val="00EE1771"/>
    <w:rsid w:val="00EE1AD3"/>
    <w:rsid w:val="00EE27CE"/>
    <w:rsid w:val="00EE297C"/>
    <w:rsid w:val="00EF0BE5"/>
    <w:rsid w:val="00EF13D6"/>
    <w:rsid w:val="00EF2D2C"/>
    <w:rsid w:val="00EF64F2"/>
    <w:rsid w:val="00F01029"/>
    <w:rsid w:val="00F061E2"/>
    <w:rsid w:val="00F1189A"/>
    <w:rsid w:val="00F157F6"/>
    <w:rsid w:val="00F275DB"/>
    <w:rsid w:val="00F312FB"/>
    <w:rsid w:val="00F32AB1"/>
    <w:rsid w:val="00F40F64"/>
    <w:rsid w:val="00F42040"/>
    <w:rsid w:val="00F47EEC"/>
    <w:rsid w:val="00F51545"/>
    <w:rsid w:val="00F54380"/>
    <w:rsid w:val="00F6224D"/>
    <w:rsid w:val="00F63D62"/>
    <w:rsid w:val="00F67B13"/>
    <w:rsid w:val="00F742D3"/>
    <w:rsid w:val="00F74718"/>
    <w:rsid w:val="00F77428"/>
    <w:rsid w:val="00F80AC8"/>
    <w:rsid w:val="00F81319"/>
    <w:rsid w:val="00F84E32"/>
    <w:rsid w:val="00F862B4"/>
    <w:rsid w:val="00F86A65"/>
    <w:rsid w:val="00F943CF"/>
    <w:rsid w:val="00F977E7"/>
    <w:rsid w:val="00FA039B"/>
    <w:rsid w:val="00FA08A9"/>
    <w:rsid w:val="00FA1F63"/>
    <w:rsid w:val="00FA2B91"/>
    <w:rsid w:val="00FA591A"/>
    <w:rsid w:val="00FB097A"/>
    <w:rsid w:val="00FB2FDB"/>
    <w:rsid w:val="00FB34A2"/>
    <w:rsid w:val="00FB3663"/>
    <w:rsid w:val="00FC2018"/>
    <w:rsid w:val="00FC3B4B"/>
    <w:rsid w:val="00FC6092"/>
    <w:rsid w:val="00FC7081"/>
    <w:rsid w:val="00FD22F0"/>
    <w:rsid w:val="00FD3644"/>
    <w:rsid w:val="00FD5B51"/>
    <w:rsid w:val="00FD62ED"/>
    <w:rsid w:val="00FE0919"/>
    <w:rsid w:val="00FE4AF4"/>
    <w:rsid w:val="00FE58F3"/>
    <w:rsid w:val="00FE6738"/>
    <w:rsid w:val="00FE7B66"/>
    <w:rsid w:val="00FF1B8A"/>
    <w:rsid w:val="00FF2729"/>
    <w:rsid w:val="00FF31CA"/>
    <w:rsid w:val="00FF4BF7"/>
    <w:rsid w:val="00FF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BD9F9"/>
  <w15:docId w15:val="{D594616C-481A-4C35-8AE4-3D4745B7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3B4A"/>
  </w:style>
  <w:style w:type="paragraph" w:styleId="Nagwek1">
    <w:name w:val="heading 1"/>
    <w:basedOn w:val="Normalny"/>
    <w:next w:val="Normalny"/>
    <w:link w:val="Nagwek1Znak"/>
    <w:uiPriority w:val="9"/>
    <w:qFormat/>
    <w:rsid w:val="00BE5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tedebasdepage">
    <w:name w:val="Note de bas de page"/>
    <w:basedOn w:val="Normalny"/>
    <w:rsid w:val="001A6C6A"/>
    <w:pPr>
      <w:suppressAutoHyphens/>
      <w:spacing w:after="0" w:line="240" w:lineRule="auto"/>
    </w:pPr>
    <w:rPr>
      <w:rFonts w:ascii="Times New Roman" w:eastAsia="Calibri" w:hAnsi="Times New Roman" w:cs="Times New Roman"/>
      <w:color w:val="00000A"/>
      <w:sz w:val="24"/>
      <w:szCs w:val="24"/>
      <w:lang w:val="sv-SE" w:eastAsia="sv-S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C6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E59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E594E"/>
    <w:pPr>
      <w:outlineLvl w:val="9"/>
    </w:pPr>
    <w:rPr>
      <w:lang w:eastAsia="ja-JP"/>
    </w:rPr>
  </w:style>
  <w:style w:type="paragraph" w:styleId="Spistreci1">
    <w:name w:val="toc 1"/>
    <w:basedOn w:val="Normalny"/>
    <w:next w:val="Normalny"/>
    <w:autoRedefine/>
    <w:uiPriority w:val="39"/>
    <w:unhideWhenUsed/>
    <w:rsid w:val="00BE594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BE594E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CC51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C51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51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C51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51C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51C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CC51C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79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79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79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79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7943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17DAC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21E8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617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17E1"/>
  </w:style>
  <w:style w:type="paragraph" w:styleId="Stopka">
    <w:name w:val="footer"/>
    <w:basedOn w:val="Normalny"/>
    <w:link w:val="StopkaZnak"/>
    <w:uiPriority w:val="99"/>
    <w:unhideWhenUsed/>
    <w:rsid w:val="000617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17E1"/>
  </w:style>
  <w:style w:type="character" w:customStyle="1" w:styleId="Notedebasdepage0">
    <w:name w:val="Note de bas de page_"/>
    <w:rsid w:val="00074824"/>
    <w:rPr>
      <w:b w:val="0"/>
      <w:bCs w:val="0"/>
      <w:i w:val="0"/>
      <w:iCs w:val="0"/>
      <w:caps w:val="0"/>
      <w:smallCaps w:val="0"/>
      <w:strike w:val="0"/>
      <w:dstrike w:val="0"/>
      <w:sz w:val="17"/>
      <w:szCs w:val="17"/>
      <w:u w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7C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7C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7C02"/>
    <w:rPr>
      <w:vertAlign w:val="superscript"/>
    </w:rPr>
  </w:style>
  <w:style w:type="character" w:customStyle="1" w:styleId="Footnote1">
    <w:name w:val="Footnote|1_"/>
    <w:basedOn w:val="Domylnaczcionkaakapitu"/>
    <w:link w:val="Footnote10"/>
    <w:rsid w:val="00263EC4"/>
    <w:rPr>
      <w:sz w:val="20"/>
    </w:rPr>
  </w:style>
  <w:style w:type="character" w:customStyle="1" w:styleId="Picturecaption1">
    <w:name w:val="Picture caption|1_"/>
    <w:basedOn w:val="Domylnaczcionkaakapitu"/>
    <w:link w:val="Picturecaption10"/>
    <w:rsid w:val="00263EC4"/>
    <w:rPr>
      <w:rFonts w:ascii="Arial" w:eastAsia="Arial" w:hAnsi="Arial" w:cs="Arial"/>
      <w:b/>
      <w:color w:val="2D2E2D"/>
      <w:sz w:val="8"/>
    </w:rPr>
  </w:style>
  <w:style w:type="character" w:customStyle="1" w:styleId="Headerorfooter2">
    <w:name w:val="Header or footer|2_"/>
    <w:basedOn w:val="Domylnaczcionkaakapitu"/>
    <w:link w:val="Headerorfooter20"/>
    <w:rsid w:val="00263EC4"/>
    <w:rPr>
      <w:sz w:val="20"/>
    </w:rPr>
  </w:style>
  <w:style w:type="paragraph" w:customStyle="1" w:styleId="Footnote10">
    <w:name w:val="Footnote|1"/>
    <w:basedOn w:val="Normalny"/>
    <w:link w:val="Footnote1"/>
    <w:rsid w:val="00263EC4"/>
    <w:pPr>
      <w:widowControl w:val="0"/>
      <w:spacing w:after="0" w:line="240" w:lineRule="auto"/>
      <w:ind w:left="380" w:hanging="380"/>
    </w:pPr>
    <w:rPr>
      <w:sz w:val="20"/>
    </w:rPr>
  </w:style>
  <w:style w:type="paragraph" w:customStyle="1" w:styleId="Picturecaption10">
    <w:name w:val="Picture caption|1"/>
    <w:basedOn w:val="Normalny"/>
    <w:link w:val="Picturecaption1"/>
    <w:rsid w:val="00263EC4"/>
    <w:pPr>
      <w:widowControl w:val="0"/>
      <w:spacing w:after="0" w:line="240" w:lineRule="auto"/>
    </w:pPr>
    <w:rPr>
      <w:rFonts w:ascii="Arial" w:eastAsia="Arial" w:hAnsi="Arial" w:cs="Arial"/>
      <w:b/>
      <w:color w:val="2D2E2D"/>
      <w:sz w:val="8"/>
    </w:rPr>
  </w:style>
  <w:style w:type="paragraph" w:customStyle="1" w:styleId="Headerorfooter20">
    <w:name w:val="Header or footer|2"/>
    <w:basedOn w:val="Normalny"/>
    <w:link w:val="Headerorfooter2"/>
    <w:rsid w:val="00263EC4"/>
    <w:pPr>
      <w:widowControl w:val="0"/>
      <w:spacing w:after="0" w:line="240" w:lineRule="auto"/>
    </w:pPr>
    <w:rPr>
      <w:sz w:val="20"/>
    </w:rPr>
  </w:style>
  <w:style w:type="paragraph" w:customStyle="1" w:styleId="P68B1DB1-Style619">
    <w:name w:val="P68B1DB1-Style619"/>
    <w:basedOn w:val="Picturecaption10"/>
    <w:rsid w:val="00263EC4"/>
    <w:rPr>
      <w:sz w:val="9"/>
    </w:rPr>
  </w:style>
  <w:style w:type="paragraph" w:customStyle="1" w:styleId="P68B1DB1-Style1020">
    <w:name w:val="P68B1DB1-Style1020"/>
    <w:basedOn w:val="Normalny"/>
    <w:rsid w:val="00263EC4"/>
    <w:pPr>
      <w:widowControl w:val="0"/>
      <w:spacing w:after="240" w:line="240" w:lineRule="auto"/>
    </w:pPr>
    <w:rPr>
      <w:rFonts w:ascii="Times New Roman" w:eastAsia="Times New Roman" w:hAnsi="Times New Roman" w:cs="Times New Roman"/>
      <w:color w:val="FF0000"/>
      <w:sz w:val="14"/>
      <w:szCs w:val="20"/>
      <w:lang w:val="pl-PL" w:eastAsia="pl-PL"/>
    </w:rPr>
  </w:style>
  <w:style w:type="character" w:customStyle="1" w:styleId="Bodytext1">
    <w:name w:val="Body text|1_"/>
    <w:basedOn w:val="Domylnaczcionkaakapitu"/>
    <w:link w:val="Bodytext10"/>
    <w:rsid w:val="0012789B"/>
  </w:style>
  <w:style w:type="paragraph" w:customStyle="1" w:styleId="Bodytext10">
    <w:name w:val="Body text|1"/>
    <w:basedOn w:val="Normalny"/>
    <w:link w:val="Bodytext1"/>
    <w:rsid w:val="0012789B"/>
    <w:pPr>
      <w:widowControl w:val="0"/>
      <w:spacing w:after="240" w:line="240" w:lineRule="auto"/>
    </w:pPr>
  </w:style>
  <w:style w:type="paragraph" w:customStyle="1" w:styleId="P68B1DB1-Style1017">
    <w:name w:val="P68B1DB1-Style1017"/>
    <w:basedOn w:val="Normalny"/>
    <w:rsid w:val="00680683"/>
    <w:pPr>
      <w:widowControl w:val="0"/>
      <w:spacing w:after="240" w:line="240" w:lineRule="auto"/>
    </w:pPr>
    <w:rPr>
      <w:rFonts w:ascii="Times New Roman" w:eastAsia="Times New Roman" w:hAnsi="Times New Roman" w:cs="Times New Roman"/>
      <w:color w:val="000000"/>
      <w:sz w:val="11"/>
      <w:szCs w:val="20"/>
      <w:lang w:val="pl-PL" w:eastAsia="pl-PL"/>
    </w:rPr>
  </w:style>
  <w:style w:type="paragraph" w:customStyle="1" w:styleId="Default">
    <w:name w:val="Default"/>
    <w:rsid w:val="00C657E8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  <w:lang w:val="pl-PL"/>
    </w:rPr>
  </w:style>
  <w:style w:type="paragraph" w:customStyle="1" w:styleId="CM1">
    <w:name w:val="CM1"/>
    <w:basedOn w:val="Default"/>
    <w:next w:val="Default"/>
    <w:uiPriority w:val="99"/>
    <w:rsid w:val="00B60BE3"/>
    <w:rPr>
      <w:rFonts w:ascii="EU Albertina" w:hAnsi="EU 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B60BE3"/>
    <w:rPr>
      <w:rFonts w:ascii="EU Albertina" w:hAnsi="EU 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B60BE3"/>
    <w:rPr>
      <w:rFonts w:ascii="EU Albertina" w:hAnsi="EU Albertina" w:cstheme="minorBidi"/>
      <w:color w:val="auto"/>
    </w:rPr>
  </w:style>
  <w:style w:type="paragraph" w:customStyle="1" w:styleId="NumPar1">
    <w:name w:val="NumPar 1"/>
    <w:basedOn w:val="Nagwek1"/>
    <w:qFormat/>
    <w:rsid w:val="00E74C9B"/>
    <w:pPr>
      <w:keepNext w:val="0"/>
      <w:keepLines w:val="0"/>
      <w:tabs>
        <w:tab w:val="num" w:pos="482"/>
      </w:tabs>
      <w:spacing w:before="0" w:after="240" w:line="240" w:lineRule="auto"/>
      <w:ind w:left="482" w:hanging="482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4"/>
      <w:szCs w:val="20"/>
      <w:lang w:val="en-GB" w:eastAsia="en-I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52AF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C52A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C52A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5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-lex.europa.eu/legal-content/PL/TXT/?uri=OJ:C_20250046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DA4D0-B66B-4AD6-A7C6-6142B92C4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3569</Words>
  <Characters>21415</Characters>
  <Application>Microsoft Office Word</Application>
  <DocSecurity>0</DocSecurity>
  <Lines>178</Lines>
  <Paragraphs>49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24935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2017-08-09T14:00:00Z</cp:lastPrinted>
  <dcterms:created xsi:type="dcterms:W3CDTF">2025-01-22T09:06:00Z</dcterms:created>
  <dcterms:modified xsi:type="dcterms:W3CDTF">2025-01-22T09:06:00Z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UxC4dwLulzfINJ8nQH+xvX5LNGipWa4BRSZhPgxsCvnjuz0SzUdT0R9aoEkOaBuc0TRmzzC5XPLHomkwxsOXWg==</vt:lpwstr>
  </property>
  <property fmtid="{D5CDD505-2E9C-101B-9397-08002B2CF9AE}" pid="4" name="MFClassificationDate">
    <vt:lpwstr>2024-12-20T13:04:56.4601198+01:00</vt:lpwstr>
  </property>
  <property fmtid="{D5CDD505-2E9C-101B-9397-08002B2CF9AE}" pid="5" name="MFClassifiedBySID">
    <vt:lpwstr>UxC4dwLulzfINJ8nQH+xvX5LNGipWa4BRSZhPgxsCvm42mrIC/DSDv0ggS+FjUN/2v1BBotkLlY5aAiEhoi6udanRWuicKaxiM+VWN2XjWQp9ddAg6MPmAudp/ZwzPK8</vt:lpwstr>
  </property>
  <property fmtid="{D5CDD505-2E9C-101B-9397-08002B2CF9AE}" pid="6" name="MFGRNItemId">
    <vt:lpwstr>GRN-3c1cf5e7-847c-4307-be1d-f08a011f3b92</vt:lpwstr>
  </property>
  <property fmtid="{D5CDD505-2E9C-101B-9397-08002B2CF9AE}" pid="7" name="MFHash">
    <vt:lpwstr>nG1md2s7N4ynh9URwrE/TE8wqk4+vJpKB8D0mZDXJ3Y=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